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BD73" w14:textId="3A905719" w:rsidR="00D2048A" w:rsidRPr="005A6CD4" w:rsidRDefault="005A6CD4" w:rsidP="005A6CD4">
      <w:pPr>
        <w:rPr>
          <w:b/>
          <w:sz w:val="19"/>
        </w:rPr>
      </w:pPr>
      <w:r w:rsidRPr="00257C39">
        <w:rPr>
          <w:rFonts w:cs="Times New Roman"/>
          <w:noProof/>
          <w:color w:val="0072C4"/>
          <w:sz w:val="20"/>
        </w:rPr>
        <w:drawing>
          <wp:anchor distT="0" distB="0" distL="114300" distR="114300" simplePos="0" relativeHeight="251656704" behindDoc="0" locked="0" layoutInCell="1" allowOverlap="1" wp14:anchorId="15E73F98" wp14:editId="27552ABA">
            <wp:simplePos x="0" y="0"/>
            <wp:positionH relativeFrom="page">
              <wp:posOffset>5306695</wp:posOffset>
            </wp:positionH>
            <wp:positionV relativeFrom="page">
              <wp:posOffset>71120</wp:posOffset>
            </wp:positionV>
            <wp:extent cx="531053" cy="477078"/>
            <wp:effectExtent l="0" t="0" r="0" b="0"/>
            <wp:wrapSquare wrapText="bothSides"/>
            <wp:docPr id="404" name="Picture 40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31053" cy="4770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0800" behindDoc="0" locked="0" layoutInCell="1" allowOverlap="1" wp14:anchorId="137407FB" wp14:editId="34DF4A94">
            <wp:simplePos x="0" y="0"/>
            <wp:positionH relativeFrom="page">
              <wp:posOffset>476250</wp:posOffset>
            </wp:positionH>
            <wp:positionV relativeFrom="paragraph">
              <wp:posOffset>45720</wp:posOffset>
            </wp:positionV>
            <wp:extent cx="2476500" cy="514350"/>
            <wp:effectExtent l="0" t="0" r="0" b="0"/>
            <wp:wrapTopAndBottom/>
            <wp:docPr id="33" name="image4.png" descr="S:\07_Governance\07_02_Partner_Engage\07_02_07_Resources\1-6-11-Branding\Surrey_Heartlands_Branding_Templates\SurreyHeartlands_Logo_Low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6" cstate="print"/>
                    <a:stretch>
                      <a:fillRect/>
                    </a:stretch>
                  </pic:blipFill>
                  <pic:spPr>
                    <a:xfrm>
                      <a:off x="0" y="0"/>
                      <a:ext cx="2476500" cy="514350"/>
                    </a:xfrm>
                    <a:prstGeom prst="rect">
                      <a:avLst/>
                    </a:prstGeom>
                  </pic:spPr>
                </pic:pic>
              </a:graphicData>
            </a:graphic>
            <wp14:sizeRelH relativeFrom="margin">
              <wp14:pctWidth>0</wp14:pctWidth>
            </wp14:sizeRelH>
            <wp14:sizeRelV relativeFrom="margin">
              <wp14:pctHeight>0</wp14:pctHeight>
            </wp14:sizeRelV>
          </wp:anchor>
        </w:drawing>
      </w:r>
      <w:r w:rsidR="008A3A37" w:rsidRPr="00257C39">
        <w:rPr>
          <w:rFonts w:cs="Times New Roman"/>
          <w:noProof/>
          <w:color w:val="0072C4"/>
          <w:sz w:val="20"/>
        </w:rPr>
        <w:drawing>
          <wp:anchor distT="0" distB="0" distL="114300" distR="114300" simplePos="0" relativeHeight="251658752" behindDoc="0" locked="0" layoutInCell="1" allowOverlap="1" wp14:anchorId="33A162F2" wp14:editId="205CA808">
            <wp:simplePos x="0" y="0"/>
            <wp:positionH relativeFrom="page">
              <wp:posOffset>6229350</wp:posOffset>
            </wp:positionH>
            <wp:positionV relativeFrom="page">
              <wp:posOffset>194945</wp:posOffset>
            </wp:positionV>
            <wp:extent cx="869315" cy="348615"/>
            <wp:effectExtent l="0" t="0" r="0" b="0"/>
            <wp:wrapSquare wrapText="bothSides"/>
            <wp:docPr id="403" name="Picture 403" descr="Image result for nhs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hs logo">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315"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33064" w14:textId="612DF366" w:rsidR="00C773DE" w:rsidRPr="00C36235" w:rsidRDefault="00624EA8" w:rsidP="00D2048A">
      <w:pPr>
        <w:tabs>
          <w:tab w:val="left" w:pos="7155"/>
        </w:tabs>
        <w:ind w:left="678" w:hanging="536"/>
        <w:rPr>
          <w:b/>
          <w:sz w:val="24"/>
          <w:szCs w:val="24"/>
        </w:rPr>
      </w:pPr>
      <w:r>
        <w:rPr>
          <w:noProof/>
          <w:sz w:val="24"/>
          <w:szCs w:val="24"/>
        </w:rPr>
        <mc:AlternateContent>
          <mc:Choice Requires="wpg">
            <w:drawing>
              <wp:anchor distT="0" distB="0" distL="114300" distR="114300" simplePos="0" relativeHeight="251659264" behindDoc="0" locked="0" layoutInCell="1" allowOverlap="1" wp14:anchorId="5ECDC7AD" wp14:editId="6AA89A22">
                <wp:simplePos x="0" y="0"/>
                <wp:positionH relativeFrom="page">
                  <wp:posOffset>5367655</wp:posOffset>
                </wp:positionH>
                <wp:positionV relativeFrom="paragraph">
                  <wp:posOffset>74930</wp:posOffset>
                </wp:positionV>
                <wp:extent cx="1784985" cy="5645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4985" cy="564515"/>
                          <a:chOff x="8453" y="118"/>
                          <a:chExt cx="2811" cy="889"/>
                        </a:xfrm>
                      </wpg:grpSpPr>
                      <wps:wsp>
                        <wps:cNvPr id="2" name="Rectangle 8"/>
                        <wps:cNvSpPr>
                          <a:spLocks noChangeArrowheads="1"/>
                        </wps:cNvSpPr>
                        <wps:spPr bwMode="auto">
                          <a:xfrm>
                            <a:off x="8462" y="127"/>
                            <a:ext cx="2792" cy="272"/>
                          </a:xfrm>
                          <a:prstGeom prst="rect">
                            <a:avLst/>
                          </a:prstGeom>
                          <a:solidFill>
                            <a:srgbClr val="E1E1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7"/>
                        <wps:cNvSpPr>
                          <a:spLocks/>
                        </wps:cNvSpPr>
                        <wps:spPr bwMode="auto">
                          <a:xfrm>
                            <a:off x="8457" y="127"/>
                            <a:ext cx="2801" cy="269"/>
                          </a:xfrm>
                          <a:custGeom>
                            <a:avLst/>
                            <a:gdLst>
                              <a:gd name="T0" fmla="+- 0 11254 8458"/>
                              <a:gd name="T1" fmla="*/ T0 w 2801"/>
                              <a:gd name="T2" fmla="+- 0 127 127"/>
                              <a:gd name="T3" fmla="*/ 127 h 269"/>
                              <a:gd name="T4" fmla="+- 0 8462 8458"/>
                              <a:gd name="T5" fmla="*/ T4 w 2801"/>
                              <a:gd name="T6" fmla="+- 0 127 127"/>
                              <a:gd name="T7" fmla="*/ 127 h 269"/>
                              <a:gd name="T8" fmla="+- 0 8462 8458"/>
                              <a:gd name="T9" fmla="*/ T8 w 2801"/>
                              <a:gd name="T10" fmla="+- 0 156 127"/>
                              <a:gd name="T11" fmla="*/ 156 h 269"/>
                              <a:gd name="T12" fmla="+- 0 11254 8458"/>
                              <a:gd name="T13" fmla="*/ T12 w 2801"/>
                              <a:gd name="T14" fmla="+- 0 156 127"/>
                              <a:gd name="T15" fmla="*/ 156 h 269"/>
                              <a:gd name="T16" fmla="+- 0 11254 8458"/>
                              <a:gd name="T17" fmla="*/ T16 w 2801"/>
                              <a:gd name="T18" fmla="+- 0 127 127"/>
                              <a:gd name="T19" fmla="*/ 127 h 269"/>
                              <a:gd name="T20" fmla="+- 0 11258 8458"/>
                              <a:gd name="T21" fmla="*/ T20 w 2801"/>
                              <a:gd name="T22" fmla="+- 0 367 127"/>
                              <a:gd name="T23" fmla="*/ 367 h 269"/>
                              <a:gd name="T24" fmla="+- 0 8458 8458"/>
                              <a:gd name="T25" fmla="*/ T24 w 2801"/>
                              <a:gd name="T26" fmla="+- 0 367 127"/>
                              <a:gd name="T27" fmla="*/ 367 h 269"/>
                              <a:gd name="T28" fmla="+- 0 8458 8458"/>
                              <a:gd name="T29" fmla="*/ T28 w 2801"/>
                              <a:gd name="T30" fmla="+- 0 396 127"/>
                              <a:gd name="T31" fmla="*/ 396 h 269"/>
                              <a:gd name="T32" fmla="+- 0 11258 8458"/>
                              <a:gd name="T33" fmla="*/ T32 w 2801"/>
                              <a:gd name="T34" fmla="+- 0 396 127"/>
                              <a:gd name="T35" fmla="*/ 396 h 269"/>
                              <a:gd name="T36" fmla="+- 0 11258 8458"/>
                              <a:gd name="T37" fmla="*/ T36 w 2801"/>
                              <a:gd name="T38" fmla="+- 0 367 127"/>
                              <a:gd name="T39" fmla="*/ 367 h 2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01" h="269">
                                <a:moveTo>
                                  <a:pt x="2796" y="0"/>
                                </a:moveTo>
                                <a:lnTo>
                                  <a:pt x="4" y="0"/>
                                </a:lnTo>
                                <a:lnTo>
                                  <a:pt x="4" y="29"/>
                                </a:lnTo>
                                <a:lnTo>
                                  <a:pt x="2796" y="29"/>
                                </a:lnTo>
                                <a:lnTo>
                                  <a:pt x="2796" y="0"/>
                                </a:lnTo>
                                <a:moveTo>
                                  <a:pt x="2800" y="240"/>
                                </a:moveTo>
                                <a:lnTo>
                                  <a:pt x="0" y="240"/>
                                </a:lnTo>
                                <a:lnTo>
                                  <a:pt x="0" y="269"/>
                                </a:lnTo>
                                <a:lnTo>
                                  <a:pt x="2800" y="269"/>
                                </a:lnTo>
                                <a:lnTo>
                                  <a:pt x="2800" y="240"/>
                                </a:lnTo>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8457" y="117"/>
                            <a:ext cx="2796" cy="889"/>
                          </a:xfrm>
                          <a:custGeom>
                            <a:avLst/>
                            <a:gdLst>
                              <a:gd name="T0" fmla="+- 0 8462 8458"/>
                              <a:gd name="T1" fmla="*/ T0 w 2796"/>
                              <a:gd name="T2" fmla="+- 0 401 118"/>
                              <a:gd name="T3" fmla="*/ 401 h 889"/>
                              <a:gd name="T4" fmla="+- 0 11254 8458"/>
                              <a:gd name="T5" fmla="*/ T4 w 2796"/>
                              <a:gd name="T6" fmla="+- 0 401 118"/>
                              <a:gd name="T7" fmla="*/ 401 h 889"/>
                              <a:gd name="T8" fmla="+- 0 8458 8458"/>
                              <a:gd name="T9" fmla="*/ T8 w 2796"/>
                              <a:gd name="T10" fmla="+- 0 118 118"/>
                              <a:gd name="T11" fmla="*/ 118 h 889"/>
                              <a:gd name="T12" fmla="+- 0 8458 8458"/>
                              <a:gd name="T13" fmla="*/ T12 w 2796"/>
                              <a:gd name="T14" fmla="+- 0 1006 118"/>
                              <a:gd name="T15" fmla="*/ 1006 h 889"/>
                            </a:gdLst>
                            <a:ahLst/>
                            <a:cxnLst>
                              <a:cxn ang="0">
                                <a:pos x="T1" y="T3"/>
                              </a:cxn>
                              <a:cxn ang="0">
                                <a:pos x="T5" y="T7"/>
                              </a:cxn>
                              <a:cxn ang="0">
                                <a:pos x="T9" y="T11"/>
                              </a:cxn>
                              <a:cxn ang="0">
                                <a:pos x="T13" y="T15"/>
                              </a:cxn>
                            </a:cxnLst>
                            <a:rect l="0" t="0" r="r" b="b"/>
                            <a:pathLst>
                              <a:path w="2796" h="889">
                                <a:moveTo>
                                  <a:pt x="4" y="283"/>
                                </a:moveTo>
                                <a:lnTo>
                                  <a:pt x="2796" y="283"/>
                                </a:lnTo>
                                <a:moveTo>
                                  <a:pt x="0" y="0"/>
                                </a:moveTo>
                                <a:lnTo>
                                  <a:pt x="0" y="888"/>
                                </a:lnTo>
                              </a:path>
                            </a:pathLst>
                          </a:custGeom>
                          <a:noFill/>
                          <a:ln w="609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
                        <wps:cNvCnPr>
                          <a:cxnSpLocks noChangeShapeType="1"/>
                        </wps:cNvCnPr>
                        <wps:spPr bwMode="auto">
                          <a:xfrm>
                            <a:off x="8462" y="1001"/>
                            <a:ext cx="2792" cy="0"/>
                          </a:xfrm>
                          <a:prstGeom prst="line">
                            <a:avLst/>
                          </a:prstGeom>
                          <a:noFill/>
                          <a:ln w="6109">
                            <a:solidFill>
                              <a:srgbClr val="C0C0C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1258" y="118"/>
                            <a:ext cx="0" cy="888"/>
                          </a:xfrm>
                          <a:prstGeom prst="line">
                            <a:avLst/>
                          </a:prstGeom>
                          <a:noFill/>
                          <a:ln w="6096">
                            <a:solidFill>
                              <a:srgbClr val="C0C0C0"/>
                            </a:solidFill>
                            <a:round/>
                            <a:headEnd/>
                            <a:tailEnd/>
                          </a:ln>
                          <a:extLst>
                            <a:ext uri="{909E8E84-426E-40DD-AFC4-6F175D3DCCD1}">
                              <a14:hiddenFill xmlns:a14="http://schemas.microsoft.com/office/drawing/2010/main">
                                <a:noFill/>
                              </a14:hiddenFill>
                            </a:ext>
                          </a:extLst>
                        </wps:spPr>
                        <wps:bodyPr/>
                      </wps:wsp>
                      <wps:wsp>
                        <wps:cNvPr id="7" name="Text Box 3"/>
                        <wps:cNvSpPr txBox="1">
                          <a:spLocks noChangeArrowheads="1"/>
                        </wps:cNvSpPr>
                        <wps:spPr bwMode="auto">
                          <a:xfrm>
                            <a:off x="8457" y="122"/>
                            <a:ext cx="2801" cy="279"/>
                          </a:xfrm>
                          <a:prstGeom prst="rect">
                            <a:avLst/>
                          </a:prstGeom>
                          <a:solidFill>
                            <a:srgbClr val="E1E1E1"/>
                          </a:solidFill>
                          <a:ln w="6096">
                            <a:solidFill>
                              <a:srgbClr val="C0C0C0"/>
                            </a:solidFill>
                            <a:miter lim="800000"/>
                            <a:headEnd/>
                            <a:tailEnd/>
                          </a:ln>
                        </wps:spPr>
                        <wps:txbx>
                          <w:txbxContent>
                            <w:p w14:paraId="17722818" w14:textId="77777777" w:rsidR="00C773DE" w:rsidRDefault="008A3A37">
                              <w:pPr>
                                <w:spacing w:before="25"/>
                                <w:ind w:left="103"/>
                                <w:rPr>
                                  <w:b/>
                                  <w:sz w:val="18"/>
                                </w:rPr>
                              </w:pPr>
                              <w:r>
                                <w:rPr>
                                  <w:b/>
                                  <w:sz w:val="18"/>
                                </w:rPr>
                                <w:t>Patient details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DC7AD" id="Group 2" o:spid="_x0000_s1026" style="position:absolute;left:0;text-align:left;margin-left:422.65pt;margin-top:5.9pt;width:140.55pt;height:44.45pt;z-index:251659264;mso-position-horizontal-relative:page" coordorigin="8453,118" coordsize="281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">
                <v:rect id="Rectangle 8" o:spid="_x0000_s1027" style="position:absolute;left:8462;top:127;width:2792;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" fillcolor="#e1e1e1" stroked="f"/>
                <v:shape id="AutoShape 7" o:spid="_x0000_s1028" style="position:absolute;left:8457;top:127;width:2801;height:269;visibility:visible;mso-wrap-style:square;v-text-anchor:top" coordsize="280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" path="m2796,l4,r,29l2796,29r,-29m2800,240l,240r,29l2800,269r,-29e" fillcolor="#e1e1e1" stroked="f">
                  <v:path arrowok="t" o:connecttype="custom" o:connectlocs="2796,127;4,127;4,156;2796,156;2796,127;2800,367;0,367;0,396;2800,396;2800,367" o:connectangles="0,0,0,0,0,0,0,0,0,0"/>
                </v:shape>
                <v:shape id="AutoShape 6" o:spid="_x0000_s1029" style="position:absolute;left:8457;top:117;width:2796;height:889;visibility:visible;mso-wrap-style:square;v-text-anchor:top" coordsize="279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" path="m4,283r2792,m,l,888e" filled="f" strokecolor="silver" strokeweight=".48pt">
                  <v:path arrowok="t" o:connecttype="custom" o:connectlocs="4,401;2796,401;0,118;0,1006" o:connectangles="0,0,0,0"/>
                </v:shape>
                <v:line id="Line 5" o:spid="_x0000_s1030" style="position:absolute;visibility:visible;mso-wrap-style:square" from="8462,1001" to="11254,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" strokecolor="silver" strokeweight=".16969mm"/>
                <v:line id="Line 4" o:spid="_x0000_s1031" style="position:absolute;visibility:visible;mso-wrap-style:square" from="11258,118" to="11258,1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" strokecolor="silver" strokeweight=".48pt"/>
                <v:shapetype id="_x0000_t202" coordsize="21600,21600" o:spt="202" path="m,l,21600r21600,l21600,xe">
                  <v:stroke joinstyle="miter"/>
                  <v:path gradientshapeok="t" o:connecttype="rect"/>
                </v:shapetype>
                <v:shape id="Text Box 3" o:spid="_x0000_s1032" type="#_x0000_t202" style="position:absolute;left:8457;top:122;width:28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" fillcolor="#e1e1e1" strokecolor="silver" strokeweight=".48pt">
                  <v:textbox inset="0,0,0,0">
                    <w:txbxContent>
                      <w:p w14:paraId="17722818" w14:textId="77777777" w:rsidR="00C773DE" w:rsidRDefault="008A3A37">
                        <w:pPr>
                          <w:spacing w:before="25"/>
                          <w:ind w:left="103"/>
                          <w:rPr>
                            <w:b/>
                            <w:sz w:val="18"/>
                          </w:rPr>
                        </w:pPr>
                        <w:r>
                          <w:rPr>
                            <w:b/>
                            <w:sz w:val="18"/>
                          </w:rPr>
                          <w:t>Patient details</w:t>
                        </w:r>
                      </w:p>
                    </w:txbxContent>
                  </v:textbox>
                </v:shape>
                <w10:wrap anchorx="page"/>
              </v:group>
            </w:pict>
          </mc:Fallback>
        </mc:AlternateContent>
      </w:r>
      <w:bookmarkStart w:id="0" w:name="OPIOID_PATCH_SAFETY:_COUNSELLING_CHECKLI"/>
      <w:bookmarkEnd w:id="0"/>
      <w:r w:rsidR="008A3A37" w:rsidRPr="00C36235">
        <w:rPr>
          <w:b/>
          <w:color w:val="D11349"/>
          <w:sz w:val="24"/>
          <w:szCs w:val="24"/>
          <w:u w:val="single" w:color="D11349"/>
        </w:rPr>
        <w:t>OPIOID PATCH SAFETY: COUNSELLING</w:t>
      </w:r>
      <w:r w:rsidR="008A3A37" w:rsidRPr="00C36235">
        <w:rPr>
          <w:b/>
          <w:color w:val="D11349"/>
          <w:spacing w:val="-18"/>
          <w:sz w:val="24"/>
          <w:szCs w:val="24"/>
          <w:u w:val="single" w:color="D11349"/>
        </w:rPr>
        <w:t xml:space="preserve"> </w:t>
      </w:r>
      <w:r w:rsidR="008A3A37" w:rsidRPr="00C36235">
        <w:rPr>
          <w:b/>
          <w:color w:val="D11349"/>
          <w:sz w:val="24"/>
          <w:szCs w:val="24"/>
          <w:u w:val="single" w:color="D11349"/>
        </w:rPr>
        <w:t>CHECKLIST</w:t>
      </w:r>
      <w:r w:rsidR="008A3A37" w:rsidRPr="00C36235">
        <w:rPr>
          <w:b/>
          <w:color w:val="D11349"/>
          <w:sz w:val="24"/>
          <w:szCs w:val="24"/>
        </w:rPr>
        <w:tab/>
      </w:r>
    </w:p>
    <w:p w14:paraId="7D6415AF" w14:textId="77777777" w:rsidR="00C773DE" w:rsidRPr="00C36235" w:rsidRDefault="008A3A37" w:rsidP="00D2048A">
      <w:pPr>
        <w:pStyle w:val="ListParagraph"/>
        <w:numPr>
          <w:ilvl w:val="0"/>
          <w:numId w:val="2"/>
        </w:numPr>
        <w:tabs>
          <w:tab w:val="left" w:pos="567"/>
        </w:tabs>
        <w:spacing w:before="75" w:line="219" w:lineRule="exact"/>
        <w:ind w:hanging="819"/>
        <w:rPr>
          <w:sz w:val="20"/>
          <w:szCs w:val="24"/>
        </w:rPr>
      </w:pPr>
      <w:r w:rsidRPr="00C36235">
        <w:rPr>
          <w:sz w:val="20"/>
          <w:szCs w:val="24"/>
        </w:rPr>
        <w:t>If the patient is calling back, please attach a counselling required</w:t>
      </w:r>
      <w:r w:rsidRPr="00C36235">
        <w:rPr>
          <w:spacing w:val="-8"/>
          <w:sz w:val="20"/>
          <w:szCs w:val="24"/>
        </w:rPr>
        <w:t xml:space="preserve"> </w:t>
      </w:r>
      <w:r w:rsidRPr="00C36235">
        <w:rPr>
          <w:sz w:val="20"/>
          <w:szCs w:val="24"/>
        </w:rPr>
        <w:t>note.</w:t>
      </w:r>
    </w:p>
    <w:p w14:paraId="03A0E4F9" w14:textId="77777777" w:rsidR="00C773DE" w:rsidRDefault="008A3A37" w:rsidP="00D2048A">
      <w:pPr>
        <w:pStyle w:val="ListParagraph"/>
        <w:numPr>
          <w:ilvl w:val="0"/>
          <w:numId w:val="2"/>
        </w:numPr>
        <w:tabs>
          <w:tab w:val="left" w:pos="567"/>
        </w:tabs>
        <w:spacing w:line="232" w:lineRule="auto"/>
        <w:ind w:left="567" w:right="3322" w:hanging="425"/>
        <w:rPr>
          <w:sz w:val="18"/>
        </w:rPr>
      </w:pPr>
      <w:r w:rsidRPr="00C36235">
        <w:rPr>
          <w:sz w:val="20"/>
          <w:szCs w:val="24"/>
        </w:rPr>
        <w:t xml:space="preserve">Appropriate health professional to issue prescriptions (e.g. assistant technical officers or students are </w:t>
      </w:r>
      <w:r w:rsidRPr="00C36235">
        <w:rPr>
          <w:b/>
          <w:sz w:val="20"/>
          <w:szCs w:val="24"/>
        </w:rPr>
        <w:t xml:space="preserve">not </w:t>
      </w:r>
      <w:r w:rsidRPr="00C36235">
        <w:rPr>
          <w:sz w:val="20"/>
          <w:szCs w:val="24"/>
        </w:rPr>
        <w:t>to issue these prescriptions without</w:t>
      </w:r>
      <w:r w:rsidRPr="00C36235">
        <w:rPr>
          <w:spacing w:val="-18"/>
          <w:sz w:val="20"/>
          <w:szCs w:val="24"/>
        </w:rPr>
        <w:t xml:space="preserve"> </w:t>
      </w:r>
      <w:r w:rsidRPr="00C36235">
        <w:rPr>
          <w:sz w:val="20"/>
          <w:szCs w:val="24"/>
        </w:rPr>
        <w:t>supervision)</w:t>
      </w:r>
      <w:r>
        <w:rPr>
          <w:sz w:val="18"/>
        </w:rPr>
        <w:t>.</w:t>
      </w:r>
    </w:p>
    <w:p w14:paraId="4E7CC473" w14:textId="77777777" w:rsidR="00C773DE" w:rsidRDefault="00C773DE">
      <w:pPr>
        <w:spacing w:before="1" w:after="1"/>
        <w:rPr>
          <w:sz w:val="11"/>
        </w:rPr>
      </w:pPr>
    </w:p>
    <w:tbl>
      <w:tblPr>
        <w:tblW w:w="0" w:type="auto"/>
        <w:tblInd w:w="1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27"/>
        <w:gridCol w:w="2261"/>
        <w:gridCol w:w="1623"/>
        <w:gridCol w:w="1501"/>
        <w:gridCol w:w="1566"/>
        <w:gridCol w:w="701"/>
        <w:gridCol w:w="567"/>
        <w:gridCol w:w="506"/>
        <w:gridCol w:w="498"/>
        <w:gridCol w:w="853"/>
      </w:tblGrid>
      <w:tr w:rsidR="00C773DE" w14:paraId="6812FEF4" w14:textId="77777777">
        <w:trPr>
          <w:trHeight w:val="263"/>
        </w:trPr>
        <w:tc>
          <w:tcPr>
            <w:tcW w:w="10503" w:type="dxa"/>
            <w:gridSpan w:val="10"/>
            <w:shd w:val="clear" w:color="auto" w:fill="09396D"/>
          </w:tcPr>
          <w:p w14:paraId="23895F1F" w14:textId="77777777" w:rsidR="00C773DE" w:rsidRDefault="008A3A37">
            <w:pPr>
              <w:pStyle w:val="TableParagraph"/>
              <w:spacing w:before="23"/>
              <w:ind w:left="57"/>
              <w:rPr>
                <w:b/>
                <w:sz w:val="18"/>
              </w:rPr>
            </w:pPr>
            <w:r>
              <w:rPr>
                <w:b/>
                <w:color w:val="FFFFFF"/>
                <w:sz w:val="18"/>
              </w:rPr>
              <w:t>For completion by the clinical checker</w:t>
            </w:r>
          </w:p>
        </w:tc>
      </w:tr>
      <w:tr w:rsidR="00C773DE" w14:paraId="53650501" w14:textId="77777777" w:rsidTr="001E238A">
        <w:trPr>
          <w:trHeight w:val="263"/>
        </w:trPr>
        <w:tc>
          <w:tcPr>
            <w:tcW w:w="7378" w:type="dxa"/>
            <w:gridSpan w:val="5"/>
            <w:shd w:val="clear" w:color="auto" w:fill="E1E1E1"/>
          </w:tcPr>
          <w:p w14:paraId="3BCBB68D" w14:textId="77777777" w:rsidR="00C773DE" w:rsidRDefault="00C773DE">
            <w:pPr>
              <w:pStyle w:val="TableParagraph"/>
              <w:rPr>
                <w:rFonts w:ascii="Times New Roman"/>
                <w:sz w:val="18"/>
              </w:rPr>
            </w:pPr>
          </w:p>
        </w:tc>
        <w:tc>
          <w:tcPr>
            <w:tcW w:w="701" w:type="dxa"/>
            <w:shd w:val="clear" w:color="auto" w:fill="E1E1E1"/>
          </w:tcPr>
          <w:p w14:paraId="112705E2" w14:textId="77777777" w:rsidR="00C773DE" w:rsidRDefault="008A3A37">
            <w:pPr>
              <w:pStyle w:val="TableParagraph"/>
              <w:spacing w:before="23"/>
              <w:ind w:left="121"/>
              <w:rPr>
                <w:b/>
                <w:sz w:val="18"/>
              </w:rPr>
            </w:pPr>
            <w:r>
              <w:rPr>
                <w:b/>
                <w:sz w:val="18"/>
              </w:rPr>
              <w:t>Yes</w:t>
            </w:r>
          </w:p>
        </w:tc>
        <w:tc>
          <w:tcPr>
            <w:tcW w:w="567" w:type="dxa"/>
            <w:shd w:val="clear" w:color="auto" w:fill="E1E1E1"/>
          </w:tcPr>
          <w:p w14:paraId="21196D98" w14:textId="77777777" w:rsidR="00C773DE" w:rsidRDefault="008A3A37">
            <w:pPr>
              <w:pStyle w:val="TableParagraph"/>
              <w:spacing w:before="23"/>
              <w:ind w:left="228"/>
              <w:rPr>
                <w:b/>
                <w:sz w:val="18"/>
              </w:rPr>
            </w:pPr>
            <w:r>
              <w:rPr>
                <w:b/>
                <w:sz w:val="18"/>
              </w:rPr>
              <w:t>No</w:t>
            </w:r>
          </w:p>
        </w:tc>
        <w:tc>
          <w:tcPr>
            <w:tcW w:w="1857" w:type="dxa"/>
            <w:gridSpan w:val="3"/>
            <w:shd w:val="clear" w:color="auto" w:fill="E1E1E1"/>
          </w:tcPr>
          <w:p w14:paraId="678E266D" w14:textId="77777777" w:rsidR="00C773DE" w:rsidRDefault="008A3A37">
            <w:pPr>
              <w:pStyle w:val="TableParagraph"/>
              <w:spacing w:before="23"/>
              <w:ind w:left="499"/>
              <w:rPr>
                <w:b/>
                <w:sz w:val="18"/>
              </w:rPr>
            </w:pPr>
            <w:r>
              <w:rPr>
                <w:b/>
                <w:sz w:val="18"/>
              </w:rPr>
              <w:t>Comment</w:t>
            </w:r>
          </w:p>
        </w:tc>
      </w:tr>
      <w:tr w:rsidR="00C773DE" w14:paraId="58FA97C8" w14:textId="77777777" w:rsidTr="001E238A">
        <w:trPr>
          <w:trHeight w:val="261"/>
        </w:trPr>
        <w:tc>
          <w:tcPr>
            <w:tcW w:w="427" w:type="dxa"/>
          </w:tcPr>
          <w:p w14:paraId="657DD64C" w14:textId="77777777" w:rsidR="00C773DE" w:rsidRDefault="008A3A37">
            <w:pPr>
              <w:pStyle w:val="TableParagraph"/>
              <w:spacing w:before="27"/>
              <w:ind w:left="9"/>
              <w:jc w:val="center"/>
              <w:rPr>
                <w:sz w:val="18"/>
              </w:rPr>
            </w:pPr>
            <w:r>
              <w:rPr>
                <w:sz w:val="18"/>
              </w:rPr>
              <w:t>A</w:t>
            </w:r>
          </w:p>
        </w:tc>
        <w:tc>
          <w:tcPr>
            <w:tcW w:w="6951" w:type="dxa"/>
            <w:gridSpan w:val="4"/>
          </w:tcPr>
          <w:p w14:paraId="279300C5" w14:textId="77777777" w:rsidR="00C773DE" w:rsidRDefault="008A3A37">
            <w:pPr>
              <w:pStyle w:val="TableParagraph"/>
              <w:spacing w:before="25"/>
              <w:ind w:left="57"/>
              <w:rPr>
                <w:i/>
                <w:sz w:val="18"/>
              </w:rPr>
            </w:pPr>
            <w:r>
              <w:rPr>
                <w:sz w:val="18"/>
              </w:rPr>
              <w:t xml:space="preserve">Has the patient received this treatment before? </w:t>
            </w:r>
            <w:r>
              <w:rPr>
                <w:i/>
                <w:sz w:val="18"/>
              </w:rPr>
              <w:t>Check that not opioid naïve.</w:t>
            </w:r>
          </w:p>
        </w:tc>
        <w:tc>
          <w:tcPr>
            <w:tcW w:w="701" w:type="dxa"/>
          </w:tcPr>
          <w:p w14:paraId="4D915344" w14:textId="77777777" w:rsidR="00C773DE" w:rsidRDefault="00C773DE">
            <w:pPr>
              <w:pStyle w:val="TableParagraph"/>
              <w:rPr>
                <w:rFonts w:ascii="Times New Roman"/>
                <w:sz w:val="18"/>
              </w:rPr>
            </w:pPr>
          </w:p>
        </w:tc>
        <w:tc>
          <w:tcPr>
            <w:tcW w:w="567" w:type="dxa"/>
          </w:tcPr>
          <w:p w14:paraId="5B343F67" w14:textId="77777777" w:rsidR="00C773DE" w:rsidRDefault="00C773DE">
            <w:pPr>
              <w:pStyle w:val="TableParagraph"/>
              <w:rPr>
                <w:rFonts w:ascii="Times New Roman"/>
                <w:sz w:val="18"/>
              </w:rPr>
            </w:pPr>
          </w:p>
        </w:tc>
        <w:tc>
          <w:tcPr>
            <w:tcW w:w="1857" w:type="dxa"/>
            <w:gridSpan w:val="3"/>
          </w:tcPr>
          <w:p w14:paraId="7E713B3D" w14:textId="77777777" w:rsidR="00C773DE" w:rsidRDefault="00C773DE">
            <w:pPr>
              <w:pStyle w:val="TableParagraph"/>
              <w:rPr>
                <w:rFonts w:ascii="Times New Roman"/>
                <w:sz w:val="18"/>
              </w:rPr>
            </w:pPr>
          </w:p>
        </w:tc>
      </w:tr>
      <w:tr w:rsidR="00C773DE" w14:paraId="0DECCB55" w14:textId="77777777" w:rsidTr="001E238A">
        <w:trPr>
          <w:trHeight w:val="524"/>
        </w:trPr>
        <w:tc>
          <w:tcPr>
            <w:tcW w:w="427" w:type="dxa"/>
          </w:tcPr>
          <w:p w14:paraId="209DC0FB" w14:textId="77777777" w:rsidR="00C773DE" w:rsidRDefault="008A3A37">
            <w:pPr>
              <w:pStyle w:val="TableParagraph"/>
              <w:spacing w:before="27"/>
              <w:ind w:left="9"/>
              <w:jc w:val="center"/>
              <w:rPr>
                <w:sz w:val="18"/>
              </w:rPr>
            </w:pPr>
            <w:r>
              <w:rPr>
                <w:sz w:val="18"/>
              </w:rPr>
              <w:t>B</w:t>
            </w:r>
          </w:p>
        </w:tc>
        <w:tc>
          <w:tcPr>
            <w:tcW w:w="6951" w:type="dxa"/>
            <w:gridSpan w:val="4"/>
          </w:tcPr>
          <w:p w14:paraId="5F01112F" w14:textId="45670E78" w:rsidR="00C773DE" w:rsidRDefault="008A3A37">
            <w:pPr>
              <w:pStyle w:val="TableParagraph"/>
              <w:spacing w:before="27"/>
              <w:ind w:left="57"/>
              <w:rPr>
                <w:sz w:val="18"/>
              </w:rPr>
            </w:pPr>
            <w:r>
              <w:rPr>
                <w:sz w:val="18"/>
              </w:rPr>
              <w:t>Has the dose cha</w:t>
            </w:r>
            <w:r w:rsidRPr="007852CF">
              <w:rPr>
                <w:sz w:val="18"/>
                <w:szCs w:val="18"/>
              </w:rPr>
              <w:t>nged?</w:t>
            </w:r>
            <w:r w:rsidR="007852CF" w:rsidRPr="007852CF">
              <w:rPr>
                <w:sz w:val="18"/>
                <w:szCs w:val="18"/>
              </w:rPr>
              <w:t xml:space="preserve"> </w:t>
            </w:r>
            <w:hyperlink r:id="rId9" w:history="1">
              <w:r w:rsidR="007852CF" w:rsidRPr="007852CF">
                <w:rPr>
                  <w:color w:val="0000FF"/>
                  <w:sz w:val="18"/>
                  <w:szCs w:val="18"/>
                  <w:u w:val="single"/>
                </w:rPr>
                <w:t>To</w:t>
              </w:r>
              <w:r w:rsidR="007852CF" w:rsidRPr="00624EA8">
                <w:rPr>
                  <w:color w:val="0000FF"/>
                  <w:sz w:val="18"/>
                  <w:szCs w:val="18"/>
                  <w:u w:val="single"/>
                </w:rPr>
                <w:t>ol to calc</w:t>
              </w:r>
              <w:r w:rsidR="007852CF" w:rsidRPr="00624EA8">
                <w:rPr>
                  <w:color w:val="0000FF"/>
                  <w:sz w:val="18"/>
                  <w:szCs w:val="18"/>
                  <w:u w:val="single"/>
                </w:rPr>
                <w:t>u</w:t>
              </w:r>
              <w:r w:rsidR="007852CF" w:rsidRPr="00624EA8">
                <w:rPr>
                  <w:color w:val="0000FF"/>
                  <w:sz w:val="18"/>
                  <w:szCs w:val="18"/>
                  <w:u w:val="single"/>
                </w:rPr>
                <w:t>late estimated dose equivalences of oral morphine to other oral opioids</w:t>
              </w:r>
              <w:r w:rsidR="007852CF" w:rsidRPr="00624EA8">
                <w:rPr>
                  <w:color w:val="0000FF"/>
                  <w:sz w:val="18"/>
                  <w:szCs w:val="18"/>
                  <w:u w:val="single"/>
                </w:rPr>
                <w:t xml:space="preserve"> </w:t>
              </w:r>
              <w:r w:rsidR="007852CF" w:rsidRPr="00624EA8">
                <w:rPr>
                  <w:color w:val="0000FF"/>
                  <w:sz w:val="18"/>
                  <w:szCs w:val="18"/>
                  <w:u w:val="single"/>
                </w:rPr>
                <w:t xml:space="preserve"> </w:t>
              </w:r>
            </w:hyperlink>
          </w:p>
        </w:tc>
        <w:tc>
          <w:tcPr>
            <w:tcW w:w="701" w:type="dxa"/>
          </w:tcPr>
          <w:p w14:paraId="46FD1429" w14:textId="77777777" w:rsidR="00C773DE" w:rsidRDefault="00C773DE">
            <w:pPr>
              <w:pStyle w:val="TableParagraph"/>
              <w:rPr>
                <w:rFonts w:ascii="Times New Roman"/>
                <w:sz w:val="18"/>
              </w:rPr>
            </w:pPr>
          </w:p>
        </w:tc>
        <w:tc>
          <w:tcPr>
            <w:tcW w:w="567" w:type="dxa"/>
          </w:tcPr>
          <w:p w14:paraId="75FB4BCC" w14:textId="77777777" w:rsidR="00C773DE" w:rsidRDefault="00C773DE">
            <w:pPr>
              <w:pStyle w:val="TableParagraph"/>
              <w:rPr>
                <w:rFonts w:ascii="Times New Roman"/>
                <w:sz w:val="18"/>
              </w:rPr>
            </w:pPr>
          </w:p>
        </w:tc>
        <w:tc>
          <w:tcPr>
            <w:tcW w:w="1857" w:type="dxa"/>
            <w:gridSpan w:val="3"/>
          </w:tcPr>
          <w:p w14:paraId="4497C852" w14:textId="77777777" w:rsidR="00C773DE" w:rsidRDefault="00C773DE">
            <w:pPr>
              <w:pStyle w:val="TableParagraph"/>
              <w:rPr>
                <w:rFonts w:ascii="Times New Roman"/>
                <w:sz w:val="18"/>
              </w:rPr>
            </w:pPr>
          </w:p>
        </w:tc>
      </w:tr>
      <w:tr w:rsidR="00C773DE" w14:paraId="17BA9A39" w14:textId="77777777" w:rsidTr="001E238A">
        <w:trPr>
          <w:trHeight w:val="263"/>
        </w:trPr>
        <w:tc>
          <w:tcPr>
            <w:tcW w:w="427" w:type="dxa"/>
          </w:tcPr>
          <w:p w14:paraId="504131AD" w14:textId="77777777" w:rsidR="00C773DE" w:rsidRDefault="008A3A37">
            <w:pPr>
              <w:pStyle w:val="TableParagraph"/>
              <w:spacing w:before="27"/>
              <w:ind w:left="10"/>
              <w:jc w:val="center"/>
              <w:rPr>
                <w:sz w:val="18"/>
              </w:rPr>
            </w:pPr>
            <w:r>
              <w:rPr>
                <w:w w:val="99"/>
                <w:sz w:val="18"/>
              </w:rPr>
              <w:t>C</w:t>
            </w:r>
          </w:p>
        </w:tc>
        <w:tc>
          <w:tcPr>
            <w:tcW w:w="6951" w:type="dxa"/>
            <w:gridSpan w:val="4"/>
          </w:tcPr>
          <w:p w14:paraId="701BA3B8" w14:textId="77777777" w:rsidR="00C773DE" w:rsidRDefault="008A3A37">
            <w:pPr>
              <w:pStyle w:val="TableParagraph"/>
              <w:spacing w:before="27"/>
              <w:ind w:left="57"/>
              <w:rPr>
                <w:sz w:val="18"/>
              </w:rPr>
            </w:pPr>
            <w:r>
              <w:rPr>
                <w:sz w:val="18"/>
              </w:rPr>
              <w:t>Is the brand of opioid patch the same as previously used?</w:t>
            </w:r>
          </w:p>
        </w:tc>
        <w:tc>
          <w:tcPr>
            <w:tcW w:w="701" w:type="dxa"/>
          </w:tcPr>
          <w:p w14:paraId="6F64BCEE" w14:textId="77777777" w:rsidR="00C773DE" w:rsidRDefault="00C773DE">
            <w:pPr>
              <w:pStyle w:val="TableParagraph"/>
              <w:rPr>
                <w:rFonts w:ascii="Times New Roman"/>
                <w:sz w:val="18"/>
              </w:rPr>
            </w:pPr>
          </w:p>
        </w:tc>
        <w:tc>
          <w:tcPr>
            <w:tcW w:w="567" w:type="dxa"/>
          </w:tcPr>
          <w:p w14:paraId="06B0F6AB" w14:textId="77777777" w:rsidR="00C773DE" w:rsidRDefault="00C773DE">
            <w:pPr>
              <w:pStyle w:val="TableParagraph"/>
              <w:rPr>
                <w:rFonts w:ascii="Times New Roman"/>
                <w:sz w:val="18"/>
              </w:rPr>
            </w:pPr>
          </w:p>
        </w:tc>
        <w:tc>
          <w:tcPr>
            <w:tcW w:w="1857" w:type="dxa"/>
            <w:gridSpan w:val="3"/>
          </w:tcPr>
          <w:p w14:paraId="4DF3A981" w14:textId="77777777" w:rsidR="00C773DE" w:rsidRDefault="00C773DE">
            <w:pPr>
              <w:pStyle w:val="TableParagraph"/>
              <w:rPr>
                <w:rFonts w:ascii="Times New Roman"/>
                <w:sz w:val="18"/>
              </w:rPr>
            </w:pPr>
          </w:p>
        </w:tc>
      </w:tr>
      <w:tr w:rsidR="00C773DE" w14:paraId="159F0244" w14:textId="77777777" w:rsidTr="001E238A">
        <w:trPr>
          <w:trHeight w:val="263"/>
        </w:trPr>
        <w:tc>
          <w:tcPr>
            <w:tcW w:w="427" w:type="dxa"/>
          </w:tcPr>
          <w:p w14:paraId="6CBB46CF" w14:textId="77777777" w:rsidR="00C773DE" w:rsidRDefault="008A3A37">
            <w:pPr>
              <w:pStyle w:val="TableParagraph"/>
              <w:spacing w:before="27"/>
              <w:ind w:left="10"/>
              <w:jc w:val="center"/>
              <w:rPr>
                <w:sz w:val="18"/>
              </w:rPr>
            </w:pPr>
            <w:r>
              <w:rPr>
                <w:w w:val="99"/>
                <w:sz w:val="18"/>
              </w:rPr>
              <w:t>D</w:t>
            </w:r>
          </w:p>
        </w:tc>
        <w:tc>
          <w:tcPr>
            <w:tcW w:w="6951" w:type="dxa"/>
            <w:gridSpan w:val="4"/>
          </w:tcPr>
          <w:p w14:paraId="679865B0" w14:textId="77777777" w:rsidR="00C773DE" w:rsidRDefault="008A3A37">
            <w:pPr>
              <w:pStyle w:val="TableParagraph"/>
              <w:spacing w:before="27"/>
              <w:ind w:left="57"/>
              <w:rPr>
                <w:sz w:val="18"/>
              </w:rPr>
            </w:pPr>
            <w:r>
              <w:rPr>
                <w:sz w:val="18"/>
              </w:rPr>
              <w:t>Double-check for drug interactions when new items are prescribed</w:t>
            </w:r>
          </w:p>
        </w:tc>
        <w:tc>
          <w:tcPr>
            <w:tcW w:w="701" w:type="dxa"/>
          </w:tcPr>
          <w:p w14:paraId="5C81FFC1" w14:textId="77777777" w:rsidR="00C773DE" w:rsidRDefault="00C773DE">
            <w:pPr>
              <w:pStyle w:val="TableParagraph"/>
              <w:rPr>
                <w:rFonts w:ascii="Times New Roman"/>
                <w:sz w:val="18"/>
              </w:rPr>
            </w:pPr>
          </w:p>
        </w:tc>
        <w:tc>
          <w:tcPr>
            <w:tcW w:w="567" w:type="dxa"/>
          </w:tcPr>
          <w:p w14:paraId="023D81C2" w14:textId="77777777" w:rsidR="00C773DE" w:rsidRDefault="00C773DE">
            <w:pPr>
              <w:pStyle w:val="TableParagraph"/>
              <w:rPr>
                <w:rFonts w:ascii="Times New Roman"/>
                <w:sz w:val="18"/>
              </w:rPr>
            </w:pPr>
          </w:p>
        </w:tc>
        <w:tc>
          <w:tcPr>
            <w:tcW w:w="1857" w:type="dxa"/>
            <w:gridSpan w:val="3"/>
          </w:tcPr>
          <w:p w14:paraId="0CA79F82" w14:textId="77777777" w:rsidR="00C773DE" w:rsidRDefault="00C773DE">
            <w:pPr>
              <w:pStyle w:val="TableParagraph"/>
              <w:rPr>
                <w:rFonts w:ascii="Times New Roman"/>
                <w:sz w:val="18"/>
              </w:rPr>
            </w:pPr>
          </w:p>
        </w:tc>
      </w:tr>
      <w:tr w:rsidR="00C773DE" w14:paraId="71B588BD" w14:textId="77777777" w:rsidTr="001E238A">
        <w:trPr>
          <w:trHeight w:val="261"/>
        </w:trPr>
        <w:tc>
          <w:tcPr>
            <w:tcW w:w="427" w:type="dxa"/>
          </w:tcPr>
          <w:p w14:paraId="1026B27A" w14:textId="77777777" w:rsidR="00C773DE" w:rsidRDefault="008A3A37">
            <w:pPr>
              <w:pStyle w:val="TableParagraph"/>
              <w:spacing w:before="27"/>
              <w:ind w:left="9"/>
              <w:jc w:val="center"/>
              <w:rPr>
                <w:sz w:val="18"/>
              </w:rPr>
            </w:pPr>
            <w:r>
              <w:rPr>
                <w:sz w:val="18"/>
              </w:rPr>
              <w:t>E</w:t>
            </w:r>
          </w:p>
        </w:tc>
        <w:tc>
          <w:tcPr>
            <w:tcW w:w="6951" w:type="dxa"/>
            <w:gridSpan w:val="4"/>
          </w:tcPr>
          <w:p w14:paraId="3799BD5D" w14:textId="77777777" w:rsidR="00C773DE" w:rsidRDefault="008A3A37">
            <w:pPr>
              <w:pStyle w:val="TableParagraph"/>
              <w:spacing w:before="27"/>
              <w:ind w:left="57"/>
              <w:rPr>
                <w:sz w:val="18"/>
              </w:rPr>
            </w:pPr>
            <w:r>
              <w:rPr>
                <w:sz w:val="18"/>
              </w:rPr>
              <w:t>Has the patient been given information on breakthrough pain relief?</w:t>
            </w:r>
          </w:p>
        </w:tc>
        <w:tc>
          <w:tcPr>
            <w:tcW w:w="701" w:type="dxa"/>
          </w:tcPr>
          <w:p w14:paraId="20025C1C" w14:textId="77777777" w:rsidR="00C773DE" w:rsidRDefault="00C773DE">
            <w:pPr>
              <w:pStyle w:val="TableParagraph"/>
              <w:rPr>
                <w:rFonts w:ascii="Times New Roman"/>
                <w:sz w:val="18"/>
              </w:rPr>
            </w:pPr>
          </w:p>
        </w:tc>
        <w:tc>
          <w:tcPr>
            <w:tcW w:w="567" w:type="dxa"/>
          </w:tcPr>
          <w:p w14:paraId="15946CB3" w14:textId="77777777" w:rsidR="00C773DE" w:rsidRDefault="00C773DE">
            <w:pPr>
              <w:pStyle w:val="TableParagraph"/>
              <w:rPr>
                <w:rFonts w:ascii="Times New Roman"/>
                <w:sz w:val="18"/>
              </w:rPr>
            </w:pPr>
          </w:p>
        </w:tc>
        <w:tc>
          <w:tcPr>
            <w:tcW w:w="1857" w:type="dxa"/>
            <w:gridSpan w:val="3"/>
          </w:tcPr>
          <w:p w14:paraId="7A1AD049" w14:textId="77777777" w:rsidR="00C773DE" w:rsidRDefault="00C773DE">
            <w:pPr>
              <w:pStyle w:val="TableParagraph"/>
              <w:rPr>
                <w:rFonts w:ascii="Times New Roman"/>
                <w:sz w:val="18"/>
              </w:rPr>
            </w:pPr>
          </w:p>
        </w:tc>
      </w:tr>
      <w:tr w:rsidR="00C773DE" w14:paraId="14599807" w14:textId="77777777" w:rsidTr="001E238A">
        <w:trPr>
          <w:trHeight w:val="263"/>
        </w:trPr>
        <w:tc>
          <w:tcPr>
            <w:tcW w:w="427" w:type="dxa"/>
          </w:tcPr>
          <w:p w14:paraId="5C4B9D31" w14:textId="77777777" w:rsidR="00C773DE" w:rsidRDefault="008A3A37">
            <w:pPr>
              <w:pStyle w:val="TableParagraph"/>
              <w:spacing w:before="27"/>
              <w:ind w:left="9"/>
              <w:jc w:val="center"/>
              <w:rPr>
                <w:sz w:val="18"/>
              </w:rPr>
            </w:pPr>
            <w:r>
              <w:rPr>
                <w:sz w:val="18"/>
              </w:rPr>
              <w:t>F</w:t>
            </w:r>
          </w:p>
        </w:tc>
        <w:tc>
          <w:tcPr>
            <w:tcW w:w="6951" w:type="dxa"/>
            <w:gridSpan w:val="4"/>
          </w:tcPr>
          <w:p w14:paraId="5BDA353E" w14:textId="77777777" w:rsidR="00C773DE" w:rsidRDefault="008A3A37">
            <w:pPr>
              <w:pStyle w:val="TableParagraph"/>
              <w:spacing w:before="27"/>
              <w:ind w:left="57"/>
              <w:rPr>
                <w:sz w:val="18"/>
              </w:rPr>
            </w:pPr>
            <w:r>
              <w:rPr>
                <w:sz w:val="18"/>
              </w:rPr>
              <w:t>Presence of PIL within the packaging</w:t>
            </w:r>
          </w:p>
        </w:tc>
        <w:tc>
          <w:tcPr>
            <w:tcW w:w="701" w:type="dxa"/>
          </w:tcPr>
          <w:p w14:paraId="5D39808F" w14:textId="77777777" w:rsidR="00C773DE" w:rsidRDefault="00C773DE">
            <w:pPr>
              <w:pStyle w:val="TableParagraph"/>
              <w:rPr>
                <w:rFonts w:ascii="Times New Roman"/>
                <w:sz w:val="18"/>
              </w:rPr>
            </w:pPr>
          </w:p>
        </w:tc>
        <w:tc>
          <w:tcPr>
            <w:tcW w:w="567" w:type="dxa"/>
          </w:tcPr>
          <w:p w14:paraId="0205E384" w14:textId="77777777" w:rsidR="00C773DE" w:rsidRDefault="00C773DE">
            <w:pPr>
              <w:pStyle w:val="TableParagraph"/>
              <w:rPr>
                <w:rFonts w:ascii="Times New Roman"/>
                <w:sz w:val="18"/>
              </w:rPr>
            </w:pPr>
          </w:p>
        </w:tc>
        <w:tc>
          <w:tcPr>
            <w:tcW w:w="1857" w:type="dxa"/>
            <w:gridSpan w:val="3"/>
          </w:tcPr>
          <w:p w14:paraId="36F5F234" w14:textId="77777777" w:rsidR="00C773DE" w:rsidRDefault="00C773DE">
            <w:pPr>
              <w:pStyle w:val="TableParagraph"/>
              <w:rPr>
                <w:rFonts w:ascii="Times New Roman"/>
                <w:sz w:val="18"/>
              </w:rPr>
            </w:pPr>
          </w:p>
        </w:tc>
      </w:tr>
      <w:tr w:rsidR="00C773DE" w14:paraId="00986F71" w14:textId="77777777">
        <w:trPr>
          <w:trHeight w:val="263"/>
        </w:trPr>
        <w:tc>
          <w:tcPr>
            <w:tcW w:w="10503" w:type="dxa"/>
            <w:gridSpan w:val="10"/>
            <w:shd w:val="clear" w:color="auto" w:fill="09396D"/>
          </w:tcPr>
          <w:p w14:paraId="4C29F492" w14:textId="77777777" w:rsidR="00C773DE" w:rsidRDefault="008A3A37">
            <w:pPr>
              <w:pStyle w:val="TableParagraph"/>
              <w:spacing w:before="23"/>
              <w:ind w:left="57"/>
              <w:rPr>
                <w:b/>
                <w:sz w:val="18"/>
              </w:rPr>
            </w:pPr>
            <w:r>
              <w:rPr>
                <w:b/>
                <w:color w:val="FFFFFF"/>
                <w:sz w:val="18"/>
              </w:rPr>
              <w:t>Counselling checklist: For completion by the counsellor</w:t>
            </w:r>
          </w:p>
        </w:tc>
      </w:tr>
      <w:tr w:rsidR="00C773DE" w14:paraId="44AA7CF1" w14:textId="77777777" w:rsidTr="001E238A">
        <w:trPr>
          <w:trHeight w:val="470"/>
        </w:trPr>
        <w:tc>
          <w:tcPr>
            <w:tcW w:w="8646" w:type="dxa"/>
            <w:gridSpan w:val="7"/>
            <w:shd w:val="clear" w:color="auto" w:fill="E1E1E1"/>
          </w:tcPr>
          <w:p w14:paraId="72F7F2D4" w14:textId="77777777" w:rsidR="00C773DE" w:rsidRDefault="008A3A37">
            <w:pPr>
              <w:pStyle w:val="TableParagraph"/>
              <w:spacing w:before="126"/>
              <w:ind w:left="57"/>
              <w:rPr>
                <w:b/>
                <w:sz w:val="18"/>
              </w:rPr>
            </w:pPr>
            <w:r>
              <w:rPr>
                <w:b/>
                <w:sz w:val="18"/>
              </w:rPr>
              <w:t>Check the patient knows:</w:t>
            </w:r>
          </w:p>
        </w:tc>
        <w:tc>
          <w:tcPr>
            <w:tcW w:w="506" w:type="dxa"/>
            <w:shd w:val="clear" w:color="auto" w:fill="E1E1E1"/>
          </w:tcPr>
          <w:p w14:paraId="2D2B9260" w14:textId="77777777" w:rsidR="00C773DE" w:rsidRDefault="008A3A37">
            <w:pPr>
              <w:pStyle w:val="TableParagraph"/>
              <w:spacing w:before="126"/>
              <w:ind w:left="82"/>
              <w:rPr>
                <w:b/>
                <w:sz w:val="18"/>
              </w:rPr>
            </w:pPr>
            <w:r>
              <w:rPr>
                <w:b/>
                <w:sz w:val="18"/>
              </w:rPr>
              <w:t>Yes</w:t>
            </w:r>
          </w:p>
        </w:tc>
        <w:tc>
          <w:tcPr>
            <w:tcW w:w="498" w:type="dxa"/>
            <w:shd w:val="clear" w:color="auto" w:fill="E1E1E1"/>
          </w:tcPr>
          <w:p w14:paraId="7B9B2657" w14:textId="77777777" w:rsidR="00C773DE" w:rsidRDefault="008A3A37">
            <w:pPr>
              <w:pStyle w:val="TableParagraph"/>
              <w:spacing w:before="126"/>
              <w:ind w:left="121"/>
              <w:rPr>
                <w:b/>
                <w:sz w:val="18"/>
              </w:rPr>
            </w:pPr>
            <w:r>
              <w:rPr>
                <w:b/>
                <w:sz w:val="18"/>
              </w:rPr>
              <w:t>No</w:t>
            </w:r>
          </w:p>
        </w:tc>
        <w:tc>
          <w:tcPr>
            <w:tcW w:w="853" w:type="dxa"/>
            <w:shd w:val="clear" w:color="auto" w:fill="E1E1E1"/>
          </w:tcPr>
          <w:p w14:paraId="0A1AE406" w14:textId="77777777" w:rsidR="00C773DE" w:rsidRDefault="008A3A37">
            <w:pPr>
              <w:pStyle w:val="TableParagraph"/>
              <w:spacing w:before="23"/>
              <w:ind w:left="160" w:right="77" w:hanging="75"/>
              <w:rPr>
                <w:b/>
                <w:sz w:val="18"/>
              </w:rPr>
            </w:pPr>
            <w:r>
              <w:rPr>
                <w:b/>
                <w:sz w:val="18"/>
              </w:rPr>
              <w:t>Already aware</w:t>
            </w:r>
          </w:p>
        </w:tc>
      </w:tr>
      <w:tr w:rsidR="00C773DE" w14:paraId="46615D29" w14:textId="77777777" w:rsidTr="001E238A">
        <w:trPr>
          <w:trHeight w:val="263"/>
        </w:trPr>
        <w:tc>
          <w:tcPr>
            <w:tcW w:w="427" w:type="dxa"/>
          </w:tcPr>
          <w:p w14:paraId="5B87FD52" w14:textId="77777777" w:rsidR="00C773DE" w:rsidRDefault="008A3A37">
            <w:pPr>
              <w:pStyle w:val="TableParagraph"/>
              <w:spacing w:before="27"/>
              <w:ind w:left="9"/>
              <w:jc w:val="center"/>
              <w:rPr>
                <w:sz w:val="18"/>
              </w:rPr>
            </w:pPr>
            <w:r>
              <w:rPr>
                <w:w w:val="99"/>
                <w:sz w:val="18"/>
              </w:rPr>
              <w:t>a</w:t>
            </w:r>
          </w:p>
        </w:tc>
        <w:tc>
          <w:tcPr>
            <w:tcW w:w="8219" w:type="dxa"/>
            <w:gridSpan w:val="6"/>
          </w:tcPr>
          <w:p w14:paraId="0B0E0F7B" w14:textId="77777777" w:rsidR="00C773DE" w:rsidRDefault="008A3A37">
            <w:pPr>
              <w:pStyle w:val="TableParagraph"/>
              <w:spacing w:before="23"/>
              <w:ind w:left="57"/>
              <w:rPr>
                <w:b/>
                <w:sz w:val="18"/>
              </w:rPr>
            </w:pPr>
            <w:r>
              <w:rPr>
                <w:b/>
                <w:sz w:val="18"/>
              </w:rPr>
              <w:t xml:space="preserve">How many </w:t>
            </w:r>
            <w:r>
              <w:rPr>
                <w:sz w:val="18"/>
              </w:rPr>
              <w:t xml:space="preserve">patches to apply and </w:t>
            </w:r>
            <w:r>
              <w:rPr>
                <w:b/>
                <w:sz w:val="18"/>
              </w:rPr>
              <w:t>how often</w:t>
            </w:r>
          </w:p>
        </w:tc>
        <w:tc>
          <w:tcPr>
            <w:tcW w:w="506" w:type="dxa"/>
          </w:tcPr>
          <w:p w14:paraId="3574893F" w14:textId="77777777" w:rsidR="00C773DE" w:rsidRDefault="00C773DE">
            <w:pPr>
              <w:pStyle w:val="TableParagraph"/>
              <w:rPr>
                <w:rFonts w:ascii="Times New Roman"/>
                <w:sz w:val="18"/>
              </w:rPr>
            </w:pPr>
          </w:p>
        </w:tc>
        <w:tc>
          <w:tcPr>
            <w:tcW w:w="498" w:type="dxa"/>
          </w:tcPr>
          <w:p w14:paraId="52C20C21" w14:textId="77777777" w:rsidR="00C773DE" w:rsidRDefault="00C773DE">
            <w:pPr>
              <w:pStyle w:val="TableParagraph"/>
              <w:rPr>
                <w:rFonts w:ascii="Times New Roman"/>
                <w:sz w:val="18"/>
              </w:rPr>
            </w:pPr>
          </w:p>
        </w:tc>
        <w:tc>
          <w:tcPr>
            <w:tcW w:w="853" w:type="dxa"/>
          </w:tcPr>
          <w:p w14:paraId="79582A72" w14:textId="77777777" w:rsidR="00C773DE" w:rsidRDefault="00C773DE">
            <w:pPr>
              <w:pStyle w:val="TableParagraph"/>
              <w:rPr>
                <w:rFonts w:ascii="Times New Roman"/>
                <w:sz w:val="18"/>
              </w:rPr>
            </w:pPr>
          </w:p>
        </w:tc>
      </w:tr>
      <w:tr w:rsidR="00C773DE" w14:paraId="6C00C502" w14:textId="77777777" w:rsidTr="001E238A">
        <w:trPr>
          <w:trHeight w:val="470"/>
        </w:trPr>
        <w:tc>
          <w:tcPr>
            <w:tcW w:w="427" w:type="dxa"/>
          </w:tcPr>
          <w:p w14:paraId="203FD094" w14:textId="77777777" w:rsidR="00C773DE" w:rsidRDefault="008A3A37">
            <w:pPr>
              <w:pStyle w:val="TableParagraph"/>
              <w:spacing w:before="131"/>
              <w:ind w:left="9"/>
              <w:jc w:val="center"/>
              <w:rPr>
                <w:sz w:val="18"/>
              </w:rPr>
            </w:pPr>
            <w:r>
              <w:rPr>
                <w:w w:val="99"/>
                <w:sz w:val="18"/>
              </w:rPr>
              <w:t>b</w:t>
            </w:r>
          </w:p>
        </w:tc>
        <w:tc>
          <w:tcPr>
            <w:tcW w:w="8219" w:type="dxa"/>
            <w:gridSpan w:val="6"/>
          </w:tcPr>
          <w:p w14:paraId="4B3179B5" w14:textId="77777777" w:rsidR="00C773DE" w:rsidRDefault="008A3A37">
            <w:pPr>
              <w:pStyle w:val="TableParagraph"/>
              <w:spacing w:before="25"/>
              <w:ind w:left="57" w:right="357"/>
              <w:rPr>
                <w:sz w:val="18"/>
              </w:rPr>
            </w:pPr>
            <w:r>
              <w:rPr>
                <w:sz w:val="18"/>
              </w:rPr>
              <w:t>To choose the patch application site carefully and to not apply to the same site twice in a row (see PIL)</w:t>
            </w:r>
          </w:p>
        </w:tc>
        <w:tc>
          <w:tcPr>
            <w:tcW w:w="506" w:type="dxa"/>
          </w:tcPr>
          <w:p w14:paraId="4416FA95" w14:textId="77777777" w:rsidR="00C773DE" w:rsidRDefault="00C773DE">
            <w:pPr>
              <w:pStyle w:val="TableParagraph"/>
              <w:rPr>
                <w:rFonts w:ascii="Times New Roman"/>
                <w:sz w:val="18"/>
              </w:rPr>
            </w:pPr>
          </w:p>
        </w:tc>
        <w:tc>
          <w:tcPr>
            <w:tcW w:w="498" w:type="dxa"/>
          </w:tcPr>
          <w:p w14:paraId="4097FA33" w14:textId="77777777" w:rsidR="00C773DE" w:rsidRDefault="00C773DE">
            <w:pPr>
              <w:pStyle w:val="TableParagraph"/>
              <w:rPr>
                <w:rFonts w:ascii="Times New Roman"/>
                <w:sz w:val="18"/>
              </w:rPr>
            </w:pPr>
          </w:p>
        </w:tc>
        <w:tc>
          <w:tcPr>
            <w:tcW w:w="853" w:type="dxa"/>
          </w:tcPr>
          <w:p w14:paraId="216648BA" w14:textId="77777777" w:rsidR="00C773DE" w:rsidRDefault="00C773DE">
            <w:pPr>
              <w:pStyle w:val="TableParagraph"/>
              <w:rPr>
                <w:rFonts w:ascii="Times New Roman"/>
                <w:sz w:val="18"/>
              </w:rPr>
            </w:pPr>
          </w:p>
        </w:tc>
      </w:tr>
      <w:tr w:rsidR="00C773DE" w14:paraId="08D5C85A" w14:textId="77777777" w:rsidTr="001E238A">
        <w:trPr>
          <w:trHeight w:val="469"/>
        </w:trPr>
        <w:tc>
          <w:tcPr>
            <w:tcW w:w="427" w:type="dxa"/>
          </w:tcPr>
          <w:p w14:paraId="7492DBD4" w14:textId="77777777" w:rsidR="00C773DE" w:rsidRDefault="008A3A37">
            <w:pPr>
              <w:pStyle w:val="TableParagraph"/>
              <w:spacing w:before="131"/>
              <w:ind w:left="8"/>
              <w:jc w:val="center"/>
              <w:rPr>
                <w:sz w:val="18"/>
              </w:rPr>
            </w:pPr>
            <w:r>
              <w:rPr>
                <w:sz w:val="18"/>
              </w:rPr>
              <w:t>c</w:t>
            </w:r>
          </w:p>
        </w:tc>
        <w:tc>
          <w:tcPr>
            <w:tcW w:w="8219" w:type="dxa"/>
            <w:gridSpan w:val="6"/>
          </w:tcPr>
          <w:p w14:paraId="410848D4" w14:textId="77777777" w:rsidR="00C773DE" w:rsidRDefault="008A3A37">
            <w:pPr>
              <w:pStyle w:val="TableParagraph"/>
              <w:spacing w:before="20" w:line="247" w:lineRule="auto"/>
              <w:ind w:left="57" w:right="127"/>
              <w:rPr>
                <w:sz w:val="18"/>
              </w:rPr>
            </w:pPr>
            <w:r>
              <w:rPr>
                <w:b/>
                <w:sz w:val="18"/>
              </w:rPr>
              <w:t xml:space="preserve">To not apply the patch to broken, irritated or irradiated skin. </w:t>
            </w:r>
            <w:r>
              <w:rPr>
                <w:sz w:val="18"/>
              </w:rPr>
              <w:t>Ensure skin is non-hairy and dry before application. If necessary, cut hair with scissors; do not shave the area before applying a patch</w:t>
            </w:r>
          </w:p>
        </w:tc>
        <w:tc>
          <w:tcPr>
            <w:tcW w:w="506" w:type="dxa"/>
          </w:tcPr>
          <w:p w14:paraId="75DECDBF" w14:textId="77777777" w:rsidR="00C773DE" w:rsidRDefault="00C773DE">
            <w:pPr>
              <w:pStyle w:val="TableParagraph"/>
              <w:rPr>
                <w:rFonts w:ascii="Times New Roman"/>
                <w:sz w:val="18"/>
              </w:rPr>
            </w:pPr>
          </w:p>
        </w:tc>
        <w:tc>
          <w:tcPr>
            <w:tcW w:w="498" w:type="dxa"/>
          </w:tcPr>
          <w:p w14:paraId="7F880554" w14:textId="77777777" w:rsidR="00C773DE" w:rsidRDefault="00C773DE">
            <w:pPr>
              <w:pStyle w:val="TableParagraph"/>
              <w:rPr>
                <w:rFonts w:ascii="Times New Roman"/>
                <w:sz w:val="18"/>
              </w:rPr>
            </w:pPr>
          </w:p>
        </w:tc>
        <w:tc>
          <w:tcPr>
            <w:tcW w:w="853" w:type="dxa"/>
          </w:tcPr>
          <w:p w14:paraId="20416BEB" w14:textId="77777777" w:rsidR="00C773DE" w:rsidRDefault="00C773DE">
            <w:pPr>
              <w:pStyle w:val="TableParagraph"/>
              <w:rPr>
                <w:rFonts w:ascii="Times New Roman"/>
                <w:sz w:val="18"/>
              </w:rPr>
            </w:pPr>
          </w:p>
        </w:tc>
      </w:tr>
      <w:tr w:rsidR="00C773DE" w14:paraId="68D20B58" w14:textId="77777777" w:rsidTr="001E238A">
        <w:trPr>
          <w:trHeight w:val="261"/>
        </w:trPr>
        <w:tc>
          <w:tcPr>
            <w:tcW w:w="427" w:type="dxa"/>
          </w:tcPr>
          <w:p w14:paraId="0C73DE18" w14:textId="77777777" w:rsidR="00C773DE" w:rsidRDefault="008A3A37">
            <w:pPr>
              <w:pStyle w:val="TableParagraph"/>
              <w:spacing w:before="25"/>
              <w:ind w:left="9"/>
              <w:jc w:val="center"/>
              <w:rPr>
                <w:sz w:val="18"/>
              </w:rPr>
            </w:pPr>
            <w:r>
              <w:rPr>
                <w:w w:val="99"/>
                <w:sz w:val="18"/>
              </w:rPr>
              <w:t>d</w:t>
            </w:r>
          </w:p>
        </w:tc>
        <w:tc>
          <w:tcPr>
            <w:tcW w:w="8219" w:type="dxa"/>
            <w:gridSpan w:val="6"/>
          </w:tcPr>
          <w:p w14:paraId="541BF770" w14:textId="77777777" w:rsidR="00C773DE" w:rsidRDefault="008A3A37">
            <w:pPr>
              <w:pStyle w:val="TableParagraph"/>
              <w:spacing w:before="20"/>
              <w:ind w:left="57"/>
              <w:rPr>
                <w:b/>
                <w:sz w:val="18"/>
              </w:rPr>
            </w:pPr>
            <w:r>
              <w:rPr>
                <w:b/>
                <w:sz w:val="18"/>
              </w:rPr>
              <w:t>Never to cut the patch</w:t>
            </w:r>
          </w:p>
        </w:tc>
        <w:tc>
          <w:tcPr>
            <w:tcW w:w="506" w:type="dxa"/>
          </w:tcPr>
          <w:p w14:paraId="4FF070C8" w14:textId="77777777" w:rsidR="00C773DE" w:rsidRDefault="00C773DE">
            <w:pPr>
              <w:pStyle w:val="TableParagraph"/>
              <w:rPr>
                <w:rFonts w:ascii="Times New Roman"/>
                <w:sz w:val="18"/>
              </w:rPr>
            </w:pPr>
          </w:p>
        </w:tc>
        <w:tc>
          <w:tcPr>
            <w:tcW w:w="498" w:type="dxa"/>
          </w:tcPr>
          <w:p w14:paraId="5623947A" w14:textId="77777777" w:rsidR="00C773DE" w:rsidRDefault="00C773DE">
            <w:pPr>
              <w:pStyle w:val="TableParagraph"/>
              <w:rPr>
                <w:rFonts w:ascii="Times New Roman"/>
                <w:sz w:val="18"/>
              </w:rPr>
            </w:pPr>
          </w:p>
        </w:tc>
        <w:tc>
          <w:tcPr>
            <w:tcW w:w="853" w:type="dxa"/>
          </w:tcPr>
          <w:p w14:paraId="2E03F4C6" w14:textId="77777777" w:rsidR="00C773DE" w:rsidRDefault="00C773DE">
            <w:pPr>
              <w:pStyle w:val="TableParagraph"/>
              <w:rPr>
                <w:rFonts w:ascii="Times New Roman"/>
                <w:sz w:val="18"/>
              </w:rPr>
            </w:pPr>
          </w:p>
        </w:tc>
      </w:tr>
      <w:tr w:rsidR="00C773DE" w14:paraId="779C07F9" w14:textId="77777777" w:rsidTr="001E238A">
        <w:trPr>
          <w:trHeight w:val="1127"/>
        </w:trPr>
        <w:tc>
          <w:tcPr>
            <w:tcW w:w="427" w:type="dxa"/>
          </w:tcPr>
          <w:p w14:paraId="5D0A30BE" w14:textId="77777777" w:rsidR="00C773DE" w:rsidRDefault="00C773DE">
            <w:pPr>
              <w:pStyle w:val="TableParagraph"/>
              <w:rPr>
                <w:sz w:val="20"/>
              </w:rPr>
            </w:pPr>
          </w:p>
          <w:p w14:paraId="6AFCD9F0" w14:textId="77777777" w:rsidR="00C773DE" w:rsidRDefault="00C773DE">
            <w:pPr>
              <w:pStyle w:val="TableParagraph"/>
              <w:spacing w:before="11"/>
              <w:rPr>
                <w:sz w:val="19"/>
              </w:rPr>
            </w:pPr>
          </w:p>
          <w:p w14:paraId="0141C221" w14:textId="77777777" w:rsidR="00C773DE" w:rsidRDefault="008A3A37">
            <w:pPr>
              <w:pStyle w:val="TableParagraph"/>
              <w:ind w:left="9"/>
              <w:jc w:val="center"/>
              <w:rPr>
                <w:sz w:val="18"/>
              </w:rPr>
            </w:pPr>
            <w:r>
              <w:rPr>
                <w:w w:val="99"/>
                <w:sz w:val="18"/>
              </w:rPr>
              <w:t>e</w:t>
            </w:r>
          </w:p>
        </w:tc>
        <w:tc>
          <w:tcPr>
            <w:tcW w:w="8219" w:type="dxa"/>
            <w:gridSpan w:val="6"/>
          </w:tcPr>
          <w:p w14:paraId="52C11BDE" w14:textId="77777777" w:rsidR="00C773DE" w:rsidRDefault="008A3A37">
            <w:pPr>
              <w:pStyle w:val="TableParagraph"/>
              <w:spacing w:before="23"/>
              <w:ind w:left="57"/>
              <w:rPr>
                <w:b/>
                <w:sz w:val="18"/>
              </w:rPr>
            </w:pPr>
            <w:r>
              <w:rPr>
                <w:b/>
                <w:sz w:val="18"/>
              </w:rPr>
              <w:t>The process for applying the patch (refer to PIL):</w:t>
            </w:r>
          </w:p>
          <w:p w14:paraId="5556F01C" w14:textId="77777777" w:rsidR="00C773DE" w:rsidRDefault="008A3A37">
            <w:pPr>
              <w:pStyle w:val="TableParagraph"/>
              <w:numPr>
                <w:ilvl w:val="0"/>
                <w:numId w:val="1"/>
              </w:numPr>
              <w:tabs>
                <w:tab w:val="left" w:pos="257"/>
              </w:tabs>
              <w:spacing w:before="4"/>
              <w:ind w:right="636"/>
              <w:rPr>
                <w:sz w:val="18"/>
              </w:rPr>
            </w:pPr>
            <w:r>
              <w:rPr>
                <w:sz w:val="18"/>
              </w:rPr>
              <w:t>Remove old patch and carefully fold it over so sticky sides are stuck together. Put back in its original pouch and safely dispose of it out of sight/reach/discovery of</w:t>
            </w:r>
            <w:r>
              <w:rPr>
                <w:spacing w:val="-27"/>
                <w:sz w:val="18"/>
              </w:rPr>
              <w:t xml:space="preserve"> </w:t>
            </w:r>
            <w:r>
              <w:rPr>
                <w:sz w:val="18"/>
              </w:rPr>
              <w:t>children/animals</w:t>
            </w:r>
          </w:p>
          <w:p w14:paraId="03464D06" w14:textId="77777777" w:rsidR="00C773DE" w:rsidRDefault="008A3A37">
            <w:pPr>
              <w:pStyle w:val="TableParagraph"/>
              <w:numPr>
                <w:ilvl w:val="0"/>
                <w:numId w:val="1"/>
              </w:numPr>
              <w:tabs>
                <w:tab w:val="left" w:pos="257"/>
              </w:tabs>
              <w:spacing w:line="219" w:lineRule="exact"/>
              <w:rPr>
                <w:sz w:val="18"/>
              </w:rPr>
            </w:pPr>
            <w:r>
              <w:rPr>
                <w:sz w:val="18"/>
              </w:rPr>
              <w:t>Apply new patch (avoid touching sticky</w:t>
            </w:r>
            <w:r>
              <w:rPr>
                <w:spacing w:val="-6"/>
                <w:sz w:val="18"/>
              </w:rPr>
              <w:t xml:space="preserve"> </w:t>
            </w:r>
            <w:r>
              <w:rPr>
                <w:sz w:val="18"/>
              </w:rPr>
              <w:t>sides)</w:t>
            </w:r>
          </w:p>
          <w:p w14:paraId="3B059368" w14:textId="77777777" w:rsidR="00C773DE" w:rsidRDefault="008A3A37">
            <w:pPr>
              <w:pStyle w:val="TableParagraph"/>
              <w:numPr>
                <w:ilvl w:val="0"/>
                <w:numId w:val="1"/>
              </w:numPr>
              <w:tabs>
                <w:tab w:val="left" w:pos="257"/>
              </w:tabs>
              <w:spacing w:line="219" w:lineRule="exact"/>
              <w:rPr>
                <w:sz w:val="18"/>
              </w:rPr>
            </w:pPr>
            <w:r>
              <w:rPr>
                <w:sz w:val="18"/>
              </w:rPr>
              <w:t>Press patch firmly in place for 30–60 seconds and wash hands</w:t>
            </w:r>
            <w:r>
              <w:rPr>
                <w:spacing w:val="-9"/>
                <w:sz w:val="18"/>
              </w:rPr>
              <w:t xml:space="preserve"> </w:t>
            </w:r>
            <w:r>
              <w:rPr>
                <w:sz w:val="18"/>
              </w:rPr>
              <w:t>afterwards</w:t>
            </w:r>
          </w:p>
        </w:tc>
        <w:tc>
          <w:tcPr>
            <w:tcW w:w="506" w:type="dxa"/>
          </w:tcPr>
          <w:p w14:paraId="5FF4C769" w14:textId="77777777" w:rsidR="00C773DE" w:rsidRDefault="00C773DE">
            <w:pPr>
              <w:pStyle w:val="TableParagraph"/>
              <w:rPr>
                <w:rFonts w:ascii="Times New Roman"/>
                <w:sz w:val="18"/>
              </w:rPr>
            </w:pPr>
          </w:p>
        </w:tc>
        <w:tc>
          <w:tcPr>
            <w:tcW w:w="498" w:type="dxa"/>
          </w:tcPr>
          <w:p w14:paraId="4C92F4B0" w14:textId="77777777" w:rsidR="00C773DE" w:rsidRDefault="00C773DE">
            <w:pPr>
              <w:pStyle w:val="TableParagraph"/>
              <w:rPr>
                <w:rFonts w:ascii="Times New Roman"/>
                <w:sz w:val="18"/>
              </w:rPr>
            </w:pPr>
          </w:p>
        </w:tc>
        <w:tc>
          <w:tcPr>
            <w:tcW w:w="853" w:type="dxa"/>
          </w:tcPr>
          <w:p w14:paraId="3CC1F335" w14:textId="77777777" w:rsidR="00C773DE" w:rsidRDefault="00C773DE">
            <w:pPr>
              <w:pStyle w:val="TableParagraph"/>
              <w:rPr>
                <w:rFonts w:ascii="Times New Roman"/>
                <w:sz w:val="18"/>
              </w:rPr>
            </w:pPr>
          </w:p>
        </w:tc>
      </w:tr>
      <w:tr w:rsidR="00C773DE" w14:paraId="4DEBCF1B" w14:textId="77777777" w:rsidTr="001E238A">
        <w:trPr>
          <w:trHeight w:val="263"/>
        </w:trPr>
        <w:tc>
          <w:tcPr>
            <w:tcW w:w="427" w:type="dxa"/>
          </w:tcPr>
          <w:p w14:paraId="37EAE5DA" w14:textId="77777777" w:rsidR="00C773DE" w:rsidRDefault="008A3A37">
            <w:pPr>
              <w:pStyle w:val="TableParagraph"/>
              <w:spacing w:before="27"/>
              <w:ind w:left="7"/>
              <w:jc w:val="center"/>
              <w:rPr>
                <w:sz w:val="18"/>
              </w:rPr>
            </w:pPr>
            <w:r>
              <w:rPr>
                <w:sz w:val="18"/>
              </w:rPr>
              <w:t>f</w:t>
            </w:r>
          </w:p>
        </w:tc>
        <w:tc>
          <w:tcPr>
            <w:tcW w:w="8219" w:type="dxa"/>
            <w:gridSpan w:val="6"/>
          </w:tcPr>
          <w:p w14:paraId="4980A28D" w14:textId="77777777" w:rsidR="00C773DE" w:rsidRDefault="008A3A37">
            <w:pPr>
              <w:pStyle w:val="TableParagraph"/>
              <w:spacing w:before="27"/>
              <w:ind w:left="57"/>
              <w:rPr>
                <w:sz w:val="18"/>
              </w:rPr>
            </w:pPr>
            <w:r>
              <w:rPr>
                <w:sz w:val="18"/>
              </w:rPr>
              <w:t>That it may be helpful to use a calendar to record day of application</w:t>
            </w:r>
          </w:p>
        </w:tc>
        <w:tc>
          <w:tcPr>
            <w:tcW w:w="506" w:type="dxa"/>
          </w:tcPr>
          <w:p w14:paraId="66E8EA90" w14:textId="77777777" w:rsidR="00C773DE" w:rsidRDefault="00C773DE">
            <w:pPr>
              <w:pStyle w:val="TableParagraph"/>
              <w:rPr>
                <w:rFonts w:ascii="Times New Roman"/>
                <w:sz w:val="18"/>
              </w:rPr>
            </w:pPr>
          </w:p>
        </w:tc>
        <w:tc>
          <w:tcPr>
            <w:tcW w:w="498" w:type="dxa"/>
          </w:tcPr>
          <w:p w14:paraId="107B935F" w14:textId="77777777" w:rsidR="00C773DE" w:rsidRDefault="00C773DE">
            <w:pPr>
              <w:pStyle w:val="TableParagraph"/>
              <w:rPr>
                <w:rFonts w:ascii="Times New Roman"/>
                <w:sz w:val="18"/>
              </w:rPr>
            </w:pPr>
          </w:p>
        </w:tc>
        <w:tc>
          <w:tcPr>
            <w:tcW w:w="853" w:type="dxa"/>
          </w:tcPr>
          <w:p w14:paraId="6FD15D0E" w14:textId="77777777" w:rsidR="00C773DE" w:rsidRDefault="00C773DE">
            <w:pPr>
              <w:pStyle w:val="TableParagraph"/>
              <w:rPr>
                <w:rFonts w:ascii="Times New Roman"/>
                <w:sz w:val="18"/>
              </w:rPr>
            </w:pPr>
          </w:p>
        </w:tc>
      </w:tr>
      <w:tr w:rsidR="00C773DE" w14:paraId="2BD05CD7" w14:textId="77777777" w:rsidTr="001E238A">
        <w:trPr>
          <w:trHeight w:val="263"/>
        </w:trPr>
        <w:tc>
          <w:tcPr>
            <w:tcW w:w="427" w:type="dxa"/>
          </w:tcPr>
          <w:p w14:paraId="6A7523BC" w14:textId="77777777" w:rsidR="00C773DE" w:rsidRDefault="008A3A37">
            <w:pPr>
              <w:pStyle w:val="TableParagraph"/>
              <w:spacing w:before="27"/>
              <w:ind w:left="9"/>
              <w:jc w:val="center"/>
              <w:rPr>
                <w:sz w:val="18"/>
              </w:rPr>
            </w:pPr>
            <w:r>
              <w:rPr>
                <w:w w:val="99"/>
                <w:sz w:val="18"/>
              </w:rPr>
              <w:t>g</w:t>
            </w:r>
          </w:p>
        </w:tc>
        <w:tc>
          <w:tcPr>
            <w:tcW w:w="8219" w:type="dxa"/>
            <w:gridSpan w:val="6"/>
          </w:tcPr>
          <w:p w14:paraId="2AE8D6D7" w14:textId="77777777" w:rsidR="00C773DE" w:rsidRDefault="008A3A37">
            <w:pPr>
              <w:pStyle w:val="TableParagraph"/>
              <w:spacing w:before="27"/>
              <w:ind w:left="57"/>
              <w:rPr>
                <w:sz w:val="18"/>
              </w:rPr>
            </w:pPr>
            <w:r>
              <w:rPr>
                <w:sz w:val="18"/>
              </w:rPr>
              <w:t>That the patch may not start or stop working straight away</w:t>
            </w:r>
          </w:p>
        </w:tc>
        <w:tc>
          <w:tcPr>
            <w:tcW w:w="506" w:type="dxa"/>
          </w:tcPr>
          <w:p w14:paraId="4186AD07" w14:textId="77777777" w:rsidR="00C773DE" w:rsidRDefault="00C773DE">
            <w:pPr>
              <w:pStyle w:val="TableParagraph"/>
              <w:rPr>
                <w:rFonts w:ascii="Times New Roman"/>
                <w:sz w:val="18"/>
              </w:rPr>
            </w:pPr>
          </w:p>
        </w:tc>
        <w:tc>
          <w:tcPr>
            <w:tcW w:w="498" w:type="dxa"/>
          </w:tcPr>
          <w:p w14:paraId="66A8C4DA" w14:textId="77777777" w:rsidR="00C773DE" w:rsidRDefault="00C773DE">
            <w:pPr>
              <w:pStyle w:val="TableParagraph"/>
              <w:rPr>
                <w:rFonts w:ascii="Times New Roman"/>
                <w:sz w:val="18"/>
              </w:rPr>
            </w:pPr>
          </w:p>
        </w:tc>
        <w:tc>
          <w:tcPr>
            <w:tcW w:w="853" w:type="dxa"/>
          </w:tcPr>
          <w:p w14:paraId="7394BAD4" w14:textId="77777777" w:rsidR="00C773DE" w:rsidRDefault="00C773DE">
            <w:pPr>
              <w:pStyle w:val="TableParagraph"/>
              <w:rPr>
                <w:rFonts w:ascii="Times New Roman"/>
                <w:sz w:val="18"/>
              </w:rPr>
            </w:pPr>
          </w:p>
        </w:tc>
      </w:tr>
      <w:tr w:rsidR="00C773DE" w14:paraId="509A7E97" w14:textId="77777777" w:rsidTr="001E238A">
        <w:trPr>
          <w:trHeight w:val="470"/>
        </w:trPr>
        <w:tc>
          <w:tcPr>
            <w:tcW w:w="427" w:type="dxa"/>
          </w:tcPr>
          <w:p w14:paraId="73866777" w14:textId="77777777" w:rsidR="00C773DE" w:rsidRDefault="008A3A37">
            <w:pPr>
              <w:pStyle w:val="TableParagraph"/>
              <w:spacing w:before="131"/>
              <w:ind w:left="9"/>
              <w:jc w:val="center"/>
              <w:rPr>
                <w:sz w:val="18"/>
              </w:rPr>
            </w:pPr>
            <w:r>
              <w:rPr>
                <w:w w:val="99"/>
                <w:sz w:val="18"/>
              </w:rPr>
              <w:t>h</w:t>
            </w:r>
          </w:p>
        </w:tc>
        <w:tc>
          <w:tcPr>
            <w:tcW w:w="8219" w:type="dxa"/>
            <w:gridSpan w:val="6"/>
          </w:tcPr>
          <w:p w14:paraId="063C2563" w14:textId="77777777" w:rsidR="00C773DE" w:rsidRDefault="008A3A37">
            <w:pPr>
              <w:pStyle w:val="TableParagraph"/>
              <w:spacing w:before="27"/>
              <w:ind w:left="57" w:right="277"/>
              <w:rPr>
                <w:sz w:val="18"/>
              </w:rPr>
            </w:pPr>
            <w:r>
              <w:rPr>
                <w:sz w:val="18"/>
              </w:rPr>
              <w:t>If the patch falls off, start another patch. Do not re-use patch. If the edge of the patch starts to peel, use suitable tape (e.g. white surgical tape, transparent adhesive film dressing) to secure the patch</w:t>
            </w:r>
          </w:p>
        </w:tc>
        <w:tc>
          <w:tcPr>
            <w:tcW w:w="506" w:type="dxa"/>
          </w:tcPr>
          <w:p w14:paraId="4C7302D5" w14:textId="77777777" w:rsidR="00C773DE" w:rsidRDefault="00C773DE">
            <w:pPr>
              <w:pStyle w:val="TableParagraph"/>
              <w:rPr>
                <w:rFonts w:ascii="Times New Roman"/>
                <w:sz w:val="18"/>
              </w:rPr>
            </w:pPr>
          </w:p>
        </w:tc>
        <w:tc>
          <w:tcPr>
            <w:tcW w:w="498" w:type="dxa"/>
          </w:tcPr>
          <w:p w14:paraId="7340843C" w14:textId="77777777" w:rsidR="00C773DE" w:rsidRDefault="00C773DE">
            <w:pPr>
              <w:pStyle w:val="TableParagraph"/>
              <w:rPr>
                <w:rFonts w:ascii="Times New Roman"/>
                <w:sz w:val="18"/>
              </w:rPr>
            </w:pPr>
          </w:p>
        </w:tc>
        <w:tc>
          <w:tcPr>
            <w:tcW w:w="853" w:type="dxa"/>
          </w:tcPr>
          <w:p w14:paraId="0D1DF05B" w14:textId="77777777" w:rsidR="00C773DE" w:rsidRDefault="00C773DE">
            <w:pPr>
              <w:pStyle w:val="TableParagraph"/>
              <w:rPr>
                <w:rFonts w:ascii="Times New Roman"/>
                <w:sz w:val="18"/>
              </w:rPr>
            </w:pPr>
          </w:p>
        </w:tc>
      </w:tr>
      <w:tr w:rsidR="00C773DE" w14:paraId="2ECDA961" w14:textId="77777777" w:rsidTr="001E238A">
        <w:trPr>
          <w:trHeight w:val="1504"/>
        </w:trPr>
        <w:tc>
          <w:tcPr>
            <w:tcW w:w="427" w:type="dxa"/>
          </w:tcPr>
          <w:p w14:paraId="51F75526" w14:textId="77777777" w:rsidR="00C773DE" w:rsidRDefault="00C773DE">
            <w:pPr>
              <w:pStyle w:val="TableParagraph"/>
              <w:rPr>
                <w:sz w:val="20"/>
              </w:rPr>
            </w:pPr>
          </w:p>
          <w:p w14:paraId="188A7B08" w14:textId="77777777" w:rsidR="00C773DE" w:rsidRDefault="00C773DE">
            <w:pPr>
              <w:pStyle w:val="TableParagraph"/>
              <w:rPr>
                <w:sz w:val="20"/>
              </w:rPr>
            </w:pPr>
          </w:p>
          <w:p w14:paraId="139EAEC9" w14:textId="77777777" w:rsidR="00C773DE" w:rsidRDefault="00C773DE">
            <w:pPr>
              <w:pStyle w:val="TableParagraph"/>
              <w:spacing w:before="3"/>
              <w:rPr>
                <w:sz w:val="16"/>
              </w:rPr>
            </w:pPr>
          </w:p>
          <w:p w14:paraId="49A4166F" w14:textId="77777777" w:rsidR="00C773DE" w:rsidRDefault="008A3A37">
            <w:pPr>
              <w:pStyle w:val="TableParagraph"/>
              <w:ind w:left="6"/>
              <w:jc w:val="center"/>
              <w:rPr>
                <w:sz w:val="18"/>
              </w:rPr>
            </w:pPr>
            <w:r>
              <w:rPr>
                <w:w w:val="99"/>
                <w:sz w:val="18"/>
              </w:rPr>
              <w:t>i</w:t>
            </w:r>
          </w:p>
        </w:tc>
        <w:tc>
          <w:tcPr>
            <w:tcW w:w="8219" w:type="dxa"/>
            <w:gridSpan w:val="6"/>
          </w:tcPr>
          <w:p w14:paraId="36FD69C1" w14:textId="77777777" w:rsidR="00C773DE" w:rsidRDefault="008A3A37">
            <w:pPr>
              <w:pStyle w:val="TableParagraph"/>
              <w:spacing w:before="23"/>
              <w:ind w:left="57" w:right="239"/>
              <w:rPr>
                <w:sz w:val="18"/>
              </w:rPr>
            </w:pPr>
            <w:r>
              <w:rPr>
                <w:b/>
                <w:sz w:val="18"/>
              </w:rPr>
              <w:t xml:space="preserve">To keep patches out of sight/reach/discovery of children and animals and to seek immediate medical attention if patch is swallowed, or it is applied to the skin of anyone other than the patient. </w:t>
            </w:r>
            <w:r>
              <w:rPr>
                <w:sz w:val="18"/>
              </w:rPr>
              <w:t xml:space="preserve">Patches are not plasters! Incidents have involved children mimicking what they have seen others do. </w:t>
            </w:r>
            <w:r>
              <w:rPr>
                <w:i/>
                <w:sz w:val="18"/>
              </w:rPr>
              <w:t xml:space="preserve">Deaths </w:t>
            </w:r>
            <w:r>
              <w:rPr>
                <w:sz w:val="18"/>
              </w:rPr>
              <w:t>have occurred where children have removed patches from co-sleeping adults.</w:t>
            </w:r>
          </w:p>
          <w:p w14:paraId="32CEEB41" w14:textId="77777777" w:rsidR="00C773DE" w:rsidRDefault="008A3A37">
            <w:pPr>
              <w:pStyle w:val="TableParagraph"/>
              <w:spacing w:before="2"/>
              <w:ind w:left="57" w:right="558"/>
              <w:rPr>
                <w:sz w:val="18"/>
              </w:rPr>
            </w:pPr>
            <w:r>
              <w:rPr>
                <w:sz w:val="18"/>
              </w:rPr>
              <w:t xml:space="preserve">Wearing an item of clothing over the patch when sharing a bed with children or a partner is recommended. </w:t>
            </w:r>
            <w:r>
              <w:rPr>
                <w:i/>
                <w:sz w:val="18"/>
              </w:rPr>
              <w:t xml:space="preserve">Deaths </w:t>
            </w:r>
            <w:r>
              <w:rPr>
                <w:sz w:val="18"/>
              </w:rPr>
              <w:t>have also occurred where children have swallowed discarded/‘fallen-off’ patches</w:t>
            </w:r>
          </w:p>
        </w:tc>
        <w:tc>
          <w:tcPr>
            <w:tcW w:w="506" w:type="dxa"/>
          </w:tcPr>
          <w:p w14:paraId="4723E3CC" w14:textId="77777777" w:rsidR="00C773DE" w:rsidRDefault="00C773DE">
            <w:pPr>
              <w:pStyle w:val="TableParagraph"/>
              <w:rPr>
                <w:rFonts w:ascii="Times New Roman"/>
                <w:sz w:val="18"/>
              </w:rPr>
            </w:pPr>
          </w:p>
        </w:tc>
        <w:tc>
          <w:tcPr>
            <w:tcW w:w="498" w:type="dxa"/>
          </w:tcPr>
          <w:p w14:paraId="46E6D204" w14:textId="77777777" w:rsidR="00C773DE" w:rsidRDefault="00C773DE">
            <w:pPr>
              <w:pStyle w:val="TableParagraph"/>
              <w:rPr>
                <w:rFonts w:ascii="Times New Roman"/>
                <w:sz w:val="18"/>
              </w:rPr>
            </w:pPr>
          </w:p>
        </w:tc>
        <w:tc>
          <w:tcPr>
            <w:tcW w:w="853" w:type="dxa"/>
          </w:tcPr>
          <w:p w14:paraId="2013B32E" w14:textId="77777777" w:rsidR="00C773DE" w:rsidRDefault="00C773DE">
            <w:pPr>
              <w:pStyle w:val="TableParagraph"/>
              <w:rPr>
                <w:rFonts w:ascii="Times New Roman"/>
                <w:sz w:val="18"/>
              </w:rPr>
            </w:pPr>
          </w:p>
        </w:tc>
      </w:tr>
      <w:tr w:rsidR="00C773DE" w14:paraId="4D41E9E3" w14:textId="77777777" w:rsidTr="001E238A">
        <w:trPr>
          <w:trHeight w:val="882"/>
        </w:trPr>
        <w:tc>
          <w:tcPr>
            <w:tcW w:w="427" w:type="dxa"/>
          </w:tcPr>
          <w:p w14:paraId="22E7B486" w14:textId="77777777" w:rsidR="00C773DE" w:rsidRDefault="00C773DE">
            <w:pPr>
              <w:pStyle w:val="TableParagraph"/>
              <w:spacing w:before="3"/>
              <w:rPr>
                <w:sz w:val="29"/>
              </w:rPr>
            </w:pPr>
          </w:p>
          <w:p w14:paraId="2E053AB1" w14:textId="77777777" w:rsidR="00C773DE" w:rsidRDefault="008A3A37">
            <w:pPr>
              <w:pStyle w:val="TableParagraph"/>
              <w:spacing w:before="1"/>
              <w:ind w:left="6"/>
              <w:jc w:val="center"/>
              <w:rPr>
                <w:sz w:val="18"/>
              </w:rPr>
            </w:pPr>
            <w:r>
              <w:rPr>
                <w:w w:val="99"/>
                <w:sz w:val="18"/>
              </w:rPr>
              <w:t>j</w:t>
            </w:r>
          </w:p>
        </w:tc>
        <w:tc>
          <w:tcPr>
            <w:tcW w:w="8219" w:type="dxa"/>
            <w:gridSpan w:val="6"/>
          </w:tcPr>
          <w:p w14:paraId="19A9731E" w14:textId="77777777" w:rsidR="00C773DE" w:rsidRDefault="008A3A37">
            <w:pPr>
              <w:pStyle w:val="TableParagraph"/>
              <w:spacing w:before="23"/>
              <w:ind w:left="57" w:right="187"/>
              <w:rPr>
                <w:i/>
                <w:sz w:val="18"/>
              </w:rPr>
            </w:pPr>
            <w:r>
              <w:rPr>
                <w:b/>
                <w:sz w:val="18"/>
              </w:rPr>
              <w:t xml:space="preserve">The effect of heat on patch. </w:t>
            </w:r>
            <w:r>
              <w:rPr>
                <w:sz w:val="18"/>
              </w:rPr>
              <w:t xml:space="preserve">Avoid exposure of patches to heat including via hot water (e.g. hot baths, hot showers, hot water bottles, heat pads or heat blankets). Avoid hot tubs and saunas. Keep the patch area out of excessive sun. Store patches away from heat sources. </w:t>
            </w:r>
            <w:r>
              <w:rPr>
                <w:b/>
                <w:sz w:val="18"/>
              </w:rPr>
              <w:t xml:space="preserve">Seek urgent medical advice if feverish. </w:t>
            </w:r>
            <w:r>
              <w:rPr>
                <w:i/>
                <w:sz w:val="18"/>
              </w:rPr>
              <w:t>The body can absorb too much medicine if patch is exposed to excessive heat</w:t>
            </w:r>
          </w:p>
        </w:tc>
        <w:tc>
          <w:tcPr>
            <w:tcW w:w="506" w:type="dxa"/>
          </w:tcPr>
          <w:p w14:paraId="14B1FF12" w14:textId="77777777" w:rsidR="00C773DE" w:rsidRDefault="00C773DE">
            <w:pPr>
              <w:pStyle w:val="TableParagraph"/>
              <w:rPr>
                <w:rFonts w:ascii="Times New Roman"/>
                <w:sz w:val="18"/>
              </w:rPr>
            </w:pPr>
          </w:p>
        </w:tc>
        <w:tc>
          <w:tcPr>
            <w:tcW w:w="498" w:type="dxa"/>
          </w:tcPr>
          <w:p w14:paraId="0B931FB9" w14:textId="77777777" w:rsidR="00C773DE" w:rsidRDefault="00C773DE">
            <w:pPr>
              <w:pStyle w:val="TableParagraph"/>
              <w:rPr>
                <w:rFonts w:ascii="Times New Roman"/>
                <w:sz w:val="18"/>
              </w:rPr>
            </w:pPr>
          </w:p>
        </w:tc>
        <w:tc>
          <w:tcPr>
            <w:tcW w:w="853" w:type="dxa"/>
          </w:tcPr>
          <w:p w14:paraId="2634A8F1" w14:textId="77777777" w:rsidR="00C773DE" w:rsidRDefault="00C773DE">
            <w:pPr>
              <w:pStyle w:val="TableParagraph"/>
              <w:rPr>
                <w:rFonts w:ascii="Times New Roman"/>
                <w:sz w:val="18"/>
              </w:rPr>
            </w:pPr>
          </w:p>
        </w:tc>
      </w:tr>
      <w:tr w:rsidR="00C773DE" w14:paraId="2AD8CE6B" w14:textId="77777777" w:rsidTr="001E238A">
        <w:trPr>
          <w:trHeight w:val="885"/>
        </w:trPr>
        <w:tc>
          <w:tcPr>
            <w:tcW w:w="427" w:type="dxa"/>
          </w:tcPr>
          <w:p w14:paraId="74B6761D" w14:textId="77777777" w:rsidR="00C773DE" w:rsidRDefault="00C773DE">
            <w:pPr>
              <w:pStyle w:val="TableParagraph"/>
              <w:spacing w:before="6"/>
              <w:rPr>
                <w:sz w:val="29"/>
              </w:rPr>
            </w:pPr>
          </w:p>
          <w:p w14:paraId="16DE2FC6" w14:textId="77777777" w:rsidR="00C773DE" w:rsidRDefault="008A3A37">
            <w:pPr>
              <w:pStyle w:val="TableParagraph"/>
              <w:ind w:left="8"/>
              <w:jc w:val="center"/>
              <w:rPr>
                <w:sz w:val="18"/>
              </w:rPr>
            </w:pPr>
            <w:r>
              <w:rPr>
                <w:sz w:val="18"/>
              </w:rPr>
              <w:t>k</w:t>
            </w:r>
          </w:p>
        </w:tc>
        <w:tc>
          <w:tcPr>
            <w:tcW w:w="8219" w:type="dxa"/>
            <w:gridSpan w:val="6"/>
          </w:tcPr>
          <w:p w14:paraId="64DB6E82" w14:textId="77777777" w:rsidR="00C773DE" w:rsidRDefault="008A3A37">
            <w:pPr>
              <w:pStyle w:val="TableParagraph"/>
              <w:spacing w:before="23" w:line="242" w:lineRule="auto"/>
              <w:ind w:left="57" w:right="170"/>
              <w:rPr>
                <w:sz w:val="18"/>
              </w:rPr>
            </w:pPr>
            <w:r>
              <w:rPr>
                <w:b/>
                <w:sz w:val="18"/>
              </w:rPr>
              <w:t xml:space="preserve">Signs and symptoms of too much medicine and what to do. </w:t>
            </w:r>
            <w:r>
              <w:rPr>
                <w:sz w:val="18"/>
              </w:rPr>
              <w:t>Seek medical attention immediately (by dialling 999 and requesting an ambulance) if overdose is suspected. For example, if trouble breathing, or shallow/very slow breathing; extreme sleepiness or sedation; inability to think/walk/talk normally; feeling faint, confused or more dizzy than usual</w:t>
            </w:r>
          </w:p>
        </w:tc>
        <w:tc>
          <w:tcPr>
            <w:tcW w:w="506" w:type="dxa"/>
          </w:tcPr>
          <w:p w14:paraId="512B582D" w14:textId="77777777" w:rsidR="00C773DE" w:rsidRDefault="00C773DE">
            <w:pPr>
              <w:pStyle w:val="TableParagraph"/>
              <w:rPr>
                <w:rFonts w:ascii="Times New Roman"/>
                <w:sz w:val="18"/>
              </w:rPr>
            </w:pPr>
          </w:p>
        </w:tc>
        <w:tc>
          <w:tcPr>
            <w:tcW w:w="498" w:type="dxa"/>
          </w:tcPr>
          <w:p w14:paraId="06E2A638" w14:textId="77777777" w:rsidR="00C773DE" w:rsidRDefault="00C773DE">
            <w:pPr>
              <w:pStyle w:val="TableParagraph"/>
              <w:rPr>
                <w:rFonts w:ascii="Times New Roman"/>
                <w:sz w:val="18"/>
              </w:rPr>
            </w:pPr>
          </w:p>
        </w:tc>
        <w:tc>
          <w:tcPr>
            <w:tcW w:w="853" w:type="dxa"/>
          </w:tcPr>
          <w:p w14:paraId="400F6D16" w14:textId="77777777" w:rsidR="00C773DE" w:rsidRDefault="00C773DE">
            <w:pPr>
              <w:pStyle w:val="TableParagraph"/>
              <w:rPr>
                <w:rFonts w:ascii="Times New Roman"/>
                <w:sz w:val="18"/>
              </w:rPr>
            </w:pPr>
          </w:p>
        </w:tc>
      </w:tr>
      <w:tr w:rsidR="00C773DE" w14:paraId="5792BB1E" w14:textId="77777777" w:rsidTr="001E238A">
        <w:trPr>
          <w:trHeight w:val="470"/>
        </w:trPr>
        <w:tc>
          <w:tcPr>
            <w:tcW w:w="427" w:type="dxa"/>
          </w:tcPr>
          <w:p w14:paraId="5A73A826" w14:textId="77777777" w:rsidR="00C773DE" w:rsidRDefault="008A3A37">
            <w:pPr>
              <w:pStyle w:val="TableParagraph"/>
              <w:spacing w:before="131"/>
              <w:ind w:left="6"/>
              <w:jc w:val="center"/>
              <w:rPr>
                <w:sz w:val="18"/>
              </w:rPr>
            </w:pPr>
            <w:r>
              <w:rPr>
                <w:w w:val="99"/>
                <w:sz w:val="18"/>
              </w:rPr>
              <w:t>l</w:t>
            </w:r>
          </w:p>
        </w:tc>
        <w:tc>
          <w:tcPr>
            <w:tcW w:w="8219" w:type="dxa"/>
            <w:gridSpan w:val="6"/>
          </w:tcPr>
          <w:p w14:paraId="2206AC5F" w14:textId="77777777" w:rsidR="00C773DE" w:rsidRDefault="008A3A37">
            <w:pPr>
              <w:pStyle w:val="TableParagraph"/>
              <w:spacing w:before="23"/>
              <w:ind w:left="57" w:right="138"/>
              <w:rPr>
                <w:sz w:val="18"/>
              </w:rPr>
            </w:pPr>
            <w:r>
              <w:rPr>
                <w:sz w:val="18"/>
              </w:rPr>
              <w:t xml:space="preserve">That opioid patches may cause </w:t>
            </w:r>
            <w:r>
              <w:rPr>
                <w:b/>
                <w:sz w:val="18"/>
              </w:rPr>
              <w:t xml:space="preserve">drowsiness </w:t>
            </w:r>
            <w:r>
              <w:rPr>
                <w:sz w:val="18"/>
              </w:rPr>
              <w:t xml:space="preserve">and </w:t>
            </w:r>
            <w:r>
              <w:rPr>
                <w:b/>
                <w:sz w:val="18"/>
              </w:rPr>
              <w:t>affect ability to drive/operate machinery</w:t>
            </w:r>
            <w:r>
              <w:rPr>
                <w:sz w:val="18"/>
              </w:rPr>
              <w:t xml:space="preserve">. </w:t>
            </w:r>
            <w:r>
              <w:rPr>
                <w:b/>
                <w:sz w:val="18"/>
              </w:rPr>
              <w:t>Do not drive/operate machinery if affected</w:t>
            </w:r>
            <w:r>
              <w:rPr>
                <w:sz w:val="18"/>
              </w:rPr>
              <w:t>. Alcohol may potentiate these effects</w:t>
            </w:r>
          </w:p>
        </w:tc>
        <w:tc>
          <w:tcPr>
            <w:tcW w:w="506" w:type="dxa"/>
          </w:tcPr>
          <w:p w14:paraId="750F87EF" w14:textId="77777777" w:rsidR="00C773DE" w:rsidRDefault="00C773DE">
            <w:pPr>
              <w:pStyle w:val="TableParagraph"/>
              <w:rPr>
                <w:rFonts w:ascii="Times New Roman"/>
                <w:sz w:val="18"/>
              </w:rPr>
            </w:pPr>
          </w:p>
        </w:tc>
        <w:tc>
          <w:tcPr>
            <w:tcW w:w="498" w:type="dxa"/>
          </w:tcPr>
          <w:p w14:paraId="6FDECA57" w14:textId="77777777" w:rsidR="00C773DE" w:rsidRDefault="00C773DE">
            <w:pPr>
              <w:pStyle w:val="TableParagraph"/>
              <w:rPr>
                <w:rFonts w:ascii="Times New Roman"/>
                <w:sz w:val="18"/>
              </w:rPr>
            </w:pPr>
          </w:p>
        </w:tc>
        <w:tc>
          <w:tcPr>
            <w:tcW w:w="853" w:type="dxa"/>
          </w:tcPr>
          <w:p w14:paraId="510568CF" w14:textId="77777777" w:rsidR="00C773DE" w:rsidRDefault="00C773DE">
            <w:pPr>
              <w:pStyle w:val="TableParagraph"/>
              <w:rPr>
                <w:rFonts w:ascii="Times New Roman"/>
                <w:sz w:val="18"/>
              </w:rPr>
            </w:pPr>
          </w:p>
        </w:tc>
      </w:tr>
      <w:tr w:rsidR="00C773DE" w14:paraId="7AC8A19D" w14:textId="77777777" w:rsidTr="001E238A">
        <w:trPr>
          <w:trHeight w:val="470"/>
        </w:trPr>
        <w:tc>
          <w:tcPr>
            <w:tcW w:w="427" w:type="dxa"/>
          </w:tcPr>
          <w:p w14:paraId="332159A5" w14:textId="77777777" w:rsidR="00C773DE" w:rsidRDefault="008A3A37">
            <w:pPr>
              <w:pStyle w:val="TableParagraph"/>
              <w:spacing w:before="131"/>
              <w:ind w:left="10"/>
              <w:jc w:val="center"/>
              <w:rPr>
                <w:sz w:val="18"/>
              </w:rPr>
            </w:pPr>
            <w:r>
              <w:rPr>
                <w:w w:val="99"/>
                <w:sz w:val="18"/>
              </w:rPr>
              <w:t>m</w:t>
            </w:r>
          </w:p>
        </w:tc>
        <w:tc>
          <w:tcPr>
            <w:tcW w:w="8219" w:type="dxa"/>
            <w:gridSpan w:val="6"/>
          </w:tcPr>
          <w:p w14:paraId="2178F06D" w14:textId="77777777" w:rsidR="00C773DE" w:rsidRDefault="008A3A37">
            <w:pPr>
              <w:pStyle w:val="TableParagraph"/>
              <w:spacing w:before="27"/>
              <w:ind w:left="57" w:right="1063"/>
              <w:rPr>
                <w:sz w:val="18"/>
              </w:rPr>
            </w:pPr>
            <w:r>
              <w:rPr>
                <w:sz w:val="18"/>
              </w:rPr>
              <w:t>That long-term use of opioids in non-cancer pain (&gt;3 months) carries an increased risk of dependence and addiction, even at therapeutic doses.</w:t>
            </w:r>
          </w:p>
        </w:tc>
        <w:tc>
          <w:tcPr>
            <w:tcW w:w="506" w:type="dxa"/>
          </w:tcPr>
          <w:p w14:paraId="37AC4523" w14:textId="77777777" w:rsidR="00C773DE" w:rsidRDefault="00C773DE">
            <w:pPr>
              <w:pStyle w:val="TableParagraph"/>
              <w:rPr>
                <w:rFonts w:ascii="Times New Roman"/>
                <w:sz w:val="18"/>
              </w:rPr>
            </w:pPr>
          </w:p>
        </w:tc>
        <w:tc>
          <w:tcPr>
            <w:tcW w:w="498" w:type="dxa"/>
          </w:tcPr>
          <w:p w14:paraId="66E52AC0" w14:textId="77777777" w:rsidR="00C773DE" w:rsidRDefault="00C773DE">
            <w:pPr>
              <w:pStyle w:val="TableParagraph"/>
              <w:rPr>
                <w:rFonts w:ascii="Times New Roman"/>
                <w:sz w:val="18"/>
              </w:rPr>
            </w:pPr>
          </w:p>
        </w:tc>
        <w:tc>
          <w:tcPr>
            <w:tcW w:w="853" w:type="dxa"/>
          </w:tcPr>
          <w:p w14:paraId="00A5FC31" w14:textId="77777777" w:rsidR="00C773DE" w:rsidRDefault="00C773DE">
            <w:pPr>
              <w:pStyle w:val="TableParagraph"/>
              <w:rPr>
                <w:rFonts w:ascii="Times New Roman"/>
                <w:sz w:val="18"/>
              </w:rPr>
            </w:pPr>
          </w:p>
        </w:tc>
      </w:tr>
      <w:tr w:rsidR="00C773DE" w14:paraId="2973F286" w14:textId="77777777" w:rsidTr="001E238A">
        <w:trPr>
          <w:trHeight w:val="469"/>
        </w:trPr>
        <w:tc>
          <w:tcPr>
            <w:tcW w:w="427" w:type="dxa"/>
          </w:tcPr>
          <w:p w14:paraId="7DECFE9E" w14:textId="77777777" w:rsidR="00C773DE" w:rsidRDefault="008A3A37">
            <w:pPr>
              <w:pStyle w:val="TableParagraph"/>
              <w:spacing w:before="131"/>
              <w:ind w:left="9"/>
              <w:jc w:val="center"/>
              <w:rPr>
                <w:sz w:val="18"/>
              </w:rPr>
            </w:pPr>
            <w:r>
              <w:rPr>
                <w:w w:val="99"/>
                <w:sz w:val="18"/>
              </w:rPr>
              <w:t>n</w:t>
            </w:r>
          </w:p>
        </w:tc>
        <w:tc>
          <w:tcPr>
            <w:tcW w:w="8219" w:type="dxa"/>
            <w:gridSpan w:val="6"/>
          </w:tcPr>
          <w:p w14:paraId="07F0DF13" w14:textId="77777777" w:rsidR="00C773DE" w:rsidRDefault="008A3A37">
            <w:pPr>
              <w:pStyle w:val="TableParagraph"/>
              <w:spacing w:before="25"/>
              <w:ind w:left="57" w:right="128"/>
              <w:rPr>
                <w:sz w:val="18"/>
              </w:rPr>
            </w:pPr>
            <w:r>
              <w:rPr>
                <w:sz w:val="18"/>
              </w:rPr>
              <w:t>To use a regular community pharmacy and seek their advice when buying OTC/herbal products (</w:t>
            </w:r>
            <w:r>
              <w:rPr>
                <w:i/>
                <w:sz w:val="18"/>
              </w:rPr>
              <w:t>e.g. antifungals for thrush, antihistamines</w:t>
            </w:r>
            <w:r>
              <w:rPr>
                <w:sz w:val="18"/>
              </w:rPr>
              <w:t>)</w:t>
            </w:r>
          </w:p>
        </w:tc>
        <w:tc>
          <w:tcPr>
            <w:tcW w:w="506" w:type="dxa"/>
          </w:tcPr>
          <w:p w14:paraId="3EAA9021" w14:textId="77777777" w:rsidR="00C773DE" w:rsidRDefault="00C773DE">
            <w:pPr>
              <w:pStyle w:val="TableParagraph"/>
              <w:rPr>
                <w:rFonts w:ascii="Times New Roman"/>
                <w:sz w:val="18"/>
              </w:rPr>
            </w:pPr>
          </w:p>
        </w:tc>
        <w:tc>
          <w:tcPr>
            <w:tcW w:w="498" w:type="dxa"/>
          </w:tcPr>
          <w:p w14:paraId="30680C9E" w14:textId="77777777" w:rsidR="00C773DE" w:rsidRDefault="00C773DE">
            <w:pPr>
              <w:pStyle w:val="TableParagraph"/>
              <w:rPr>
                <w:rFonts w:ascii="Times New Roman"/>
                <w:sz w:val="18"/>
              </w:rPr>
            </w:pPr>
          </w:p>
        </w:tc>
        <w:tc>
          <w:tcPr>
            <w:tcW w:w="853" w:type="dxa"/>
          </w:tcPr>
          <w:p w14:paraId="22B8DFF1" w14:textId="77777777" w:rsidR="00C773DE" w:rsidRDefault="00C773DE">
            <w:pPr>
              <w:pStyle w:val="TableParagraph"/>
              <w:rPr>
                <w:rFonts w:ascii="Times New Roman"/>
                <w:sz w:val="18"/>
              </w:rPr>
            </w:pPr>
          </w:p>
        </w:tc>
      </w:tr>
      <w:tr w:rsidR="00C773DE" w14:paraId="53D77A77" w14:textId="77777777" w:rsidTr="001E238A">
        <w:trPr>
          <w:trHeight w:val="676"/>
        </w:trPr>
        <w:tc>
          <w:tcPr>
            <w:tcW w:w="427" w:type="dxa"/>
          </w:tcPr>
          <w:p w14:paraId="602BCD94" w14:textId="77777777" w:rsidR="00C773DE" w:rsidRDefault="00C773DE">
            <w:pPr>
              <w:pStyle w:val="TableParagraph"/>
              <w:spacing w:before="4"/>
              <w:rPr>
                <w:sz w:val="20"/>
              </w:rPr>
            </w:pPr>
          </w:p>
          <w:p w14:paraId="0B7A8AE0" w14:textId="77777777" w:rsidR="00C773DE" w:rsidRDefault="008A3A37">
            <w:pPr>
              <w:pStyle w:val="TableParagraph"/>
              <w:ind w:left="9"/>
              <w:jc w:val="center"/>
              <w:rPr>
                <w:sz w:val="18"/>
              </w:rPr>
            </w:pPr>
            <w:r>
              <w:rPr>
                <w:w w:val="99"/>
                <w:sz w:val="18"/>
              </w:rPr>
              <w:t>o</w:t>
            </w:r>
          </w:p>
        </w:tc>
        <w:tc>
          <w:tcPr>
            <w:tcW w:w="8219" w:type="dxa"/>
            <w:gridSpan w:val="6"/>
          </w:tcPr>
          <w:p w14:paraId="772E5A42" w14:textId="77777777" w:rsidR="00C773DE" w:rsidRDefault="008A3A37">
            <w:pPr>
              <w:pStyle w:val="TableParagraph"/>
              <w:spacing w:before="29" w:line="237" w:lineRule="auto"/>
              <w:ind w:left="57" w:right="538"/>
              <w:rPr>
                <w:i/>
                <w:sz w:val="18"/>
              </w:rPr>
            </w:pPr>
            <w:r>
              <w:rPr>
                <w:sz w:val="18"/>
              </w:rPr>
              <w:t xml:space="preserve">To bring medicines/current medicines list to clinic/hospital/attend out-of-hours services/dentist/A&amp;E/for scans, X-rays or any hospital procedures. </w:t>
            </w:r>
            <w:r>
              <w:rPr>
                <w:i/>
                <w:sz w:val="18"/>
              </w:rPr>
              <w:t>Medicine-containing patches cannot be worn during an MRI scan</w:t>
            </w:r>
          </w:p>
        </w:tc>
        <w:tc>
          <w:tcPr>
            <w:tcW w:w="506" w:type="dxa"/>
          </w:tcPr>
          <w:p w14:paraId="4849A098" w14:textId="77777777" w:rsidR="00C773DE" w:rsidRDefault="00C773DE">
            <w:pPr>
              <w:pStyle w:val="TableParagraph"/>
              <w:rPr>
                <w:rFonts w:ascii="Times New Roman"/>
                <w:sz w:val="18"/>
              </w:rPr>
            </w:pPr>
          </w:p>
        </w:tc>
        <w:tc>
          <w:tcPr>
            <w:tcW w:w="498" w:type="dxa"/>
          </w:tcPr>
          <w:p w14:paraId="4BA2C28E" w14:textId="77777777" w:rsidR="00C773DE" w:rsidRDefault="00C773DE">
            <w:pPr>
              <w:pStyle w:val="TableParagraph"/>
              <w:rPr>
                <w:rFonts w:ascii="Times New Roman"/>
                <w:sz w:val="18"/>
              </w:rPr>
            </w:pPr>
          </w:p>
        </w:tc>
        <w:tc>
          <w:tcPr>
            <w:tcW w:w="853" w:type="dxa"/>
          </w:tcPr>
          <w:p w14:paraId="3E0EAB89" w14:textId="77777777" w:rsidR="00C773DE" w:rsidRDefault="00C773DE">
            <w:pPr>
              <w:pStyle w:val="TableParagraph"/>
              <w:rPr>
                <w:rFonts w:ascii="Times New Roman"/>
                <w:sz w:val="18"/>
              </w:rPr>
            </w:pPr>
          </w:p>
        </w:tc>
      </w:tr>
      <w:tr w:rsidR="00C773DE" w14:paraId="05509E9A" w14:textId="77777777" w:rsidTr="001E238A">
        <w:trPr>
          <w:trHeight w:val="469"/>
        </w:trPr>
        <w:tc>
          <w:tcPr>
            <w:tcW w:w="2688" w:type="dxa"/>
            <w:gridSpan w:val="2"/>
            <w:shd w:val="clear" w:color="auto" w:fill="E1E1E1"/>
          </w:tcPr>
          <w:p w14:paraId="0C81FCF4" w14:textId="77777777" w:rsidR="00C773DE" w:rsidRDefault="008A3A37">
            <w:pPr>
              <w:pStyle w:val="TableParagraph"/>
              <w:spacing w:before="23"/>
              <w:ind w:left="57"/>
              <w:rPr>
                <w:b/>
                <w:sz w:val="18"/>
              </w:rPr>
            </w:pPr>
            <w:r>
              <w:rPr>
                <w:b/>
                <w:sz w:val="18"/>
              </w:rPr>
              <w:t>Discussed with:</w:t>
            </w:r>
          </w:p>
        </w:tc>
        <w:tc>
          <w:tcPr>
            <w:tcW w:w="1623" w:type="dxa"/>
            <w:shd w:val="clear" w:color="auto" w:fill="E1E1E1"/>
          </w:tcPr>
          <w:p w14:paraId="71D1C852" w14:textId="77777777" w:rsidR="00C773DE" w:rsidRDefault="008A3A37">
            <w:pPr>
              <w:pStyle w:val="TableParagraph"/>
              <w:spacing w:before="23"/>
              <w:ind w:left="57"/>
              <w:rPr>
                <w:b/>
                <w:sz w:val="18"/>
              </w:rPr>
            </w:pPr>
            <w:r>
              <w:rPr>
                <w:b/>
                <w:sz w:val="18"/>
              </w:rPr>
              <w:t>Counselled by:</w:t>
            </w:r>
          </w:p>
        </w:tc>
        <w:tc>
          <w:tcPr>
            <w:tcW w:w="1501" w:type="dxa"/>
            <w:shd w:val="clear" w:color="auto" w:fill="E1E1E1"/>
          </w:tcPr>
          <w:p w14:paraId="17FEEE06" w14:textId="77777777" w:rsidR="00C773DE" w:rsidRDefault="008A3A37">
            <w:pPr>
              <w:pStyle w:val="TableParagraph"/>
              <w:spacing w:before="23"/>
              <w:ind w:left="56"/>
              <w:rPr>
                <w:b/>
                <w:i/>
                <w:sz w:val="18"/>
              </w:rPr>
            </w:pPr>
            <w:r>
              <w:rPr>
                <w:b/>
                <w:sz w:val="18"/>
              </w:rPr>
              <w:t xml:space="preserve">Information to patient/carer </w:t>
            </w:r>
            <w:r>
              <w:rPr>
                <w:b/>
                <w:i/>
                <w:spacing w:val="-11"/>
                <w:sz w:val="18"/>
              </w:rPr>
              <w:t>□</w:t>
            </w:r>
          </w:p>
        </w:tc>
        <w:tc>
          <w:tcPr>
            <w:tcW w:w="2834" w:type="dxa"/>
            <w:gridSpan w:val="3"/>
            <w:shd w:val="clear" w:color="auto" w:fill="E1E1E1"/>
          </w:tcPr>
          <w:p w14:paraId="29FE15F3" w14:textId="77777777" w:rsidR="00C773DE" w:rsidRDefault="008A3A37">
            <w:pPr>
              <w:pStyle w:val="TableParagraph"/>
              <w:spacing w:before="23"/>
              <w:ind w:left="55" w:right="978"/>
              <w:rPr>
                <w:b/>
                <w:i/>
                <w:sz w:val="18"/>
              </w:rPr>
            </w:pPr>
            <w:r>
              <w:rPr>
                <w:b/>
                <w:sz w:val="18"/>
              </w:rPr>
              <w:t xml:space="preserve">Documented (e.g. on PMR/MUR) </w:t>
            </w:r>
            <w:r>
              <w:rPr>
                <w:b/>
                <w:i/>
                <w:sz w:val="18"/>
              </w:rPr>
              <w:t>□</w:t>
            </w:r>
          </w:p>
        </w:tc>
        <w:tc>
          <w:tcPr>
            <w:tcW w:w="1857" w:type="dxa"/>
            <w:gridSpan w:val="3"/>
            <w:shd w:val="clear" w:color="auto" w:fill="E1E1E1"/>
          </w:tcPr>
          <w:p w14:paraId="139CE6D8" w14:textId="77777777" w:rsidR="00C773DE" w:rsidRDefault="008A3A37">
            <w:pPr>
              <w:pStyle w:val="TableParagraph"/>
              <w:spacing w:before="23"/>
              <w:ind w:left="51"/>
              <w:rPr>
                <w:b/>
                <w:sz w:val="18"/>
              </w:rPr>
            </w:pPr>
            <w:r>
              <w:rPr>
                <w:b/>
                <w:sz w:val="18"/>
              </w:rPr>
              <w:t>Date:</w:t>
            </w:r>
          </w:p>
        </w:tc>
      </w:tr>
    </w:tbl>
    <w:p w14:paraId="00E11AEB" w14:textId="77777777" w:rsidR="00C773DE" w:rsidRDefault="00C773DE">
      <w:pPr>
        <w:spacing w:before="5"/>
        <w:rPr>
          <w:sz w:val="17"/>
        </w:rPr>
      </w:pPr>
    </w:p>
    <w:p w14:paraId="56D259D9" w14:textId="20DC2173" w:rsidR="00C773DE" w:rsidRDefault="008A3A37" w:rsidP="00D2048A">
      <w:pPr>
        <w:pStyle w:val="BodyText"/>
        <w:ind w:left="112" w:right="260"/>
        <w:jc w:val="both"/>
      </w:pPr>
      <w:r>
        <w:t xml:space="preserve">The </w:t>
      </w:r>
      <w:r>
        <w:rPr>
          <w:i/>
        </w:rPr>
        <w:t xml:space="preserve">Opioid Patch Information to Keep Patients Safe </w:t>
      </w:r>
      <w:r>
        <w:t xml:space="preserve">(available in </w:t>
      </w:r>
      <w:hyperlink r:id="rId10">
        <w:r>
          <w:rPr>
            <w:color w:val="0000FF"/>
            <w:u w:val="single" w:color="0000FF"/>
          </w:rPr>
          <w:t>English</w:t>
        </w:r>
        <w:r>
          <w:rPr>
            <w:color w:val="0000FF"/>
          </w:rPr>
          <w:t xml:space="preserve"> </w:t>
        </w:r>
      </w:hyperlink>
      <w:r>
        <w:t xml:space="preserve">and </w:t>
      </w:r>
      <w:hyperlink r:id="rId11">
        <w:r>
          <w:rPr>
            <w:color w:val="0000FF"/>
            <w:u w:val="single" w:color="0000FF"/>
          </w:rPr>
          <w:t>Welsh</w:t>
        </w:r>
        <w:r>
          <w:t xml:space="preserve">) </w:t>
        </w:r>
      </w:hyperlink>
      <w:r>
        <w:t>should be given to patients</w:t>
      </w:r>
      <w:r w:rsidR="00D2048A">
        <w:t xml:space="preserve"> </w:t>
      </w:r>
      <w:r>
        <w:t>to serve as a reminder of the safety issues discussed regarding the use and storage of their opioid patches. It should therefore be given to the patient after completing this checklist.</w:t>
      </w:r>
    </w:p>
    <w:p w14:paraId="5F6B2D74" w14:textId="2DBBAA43" w:rsidR="00D72A40" w:rsidRDefault="00D72A40" w:rsidP="00D72A40">
      <w:pPr>
        <w:rPr>
          <w:b/>
          <w:bCs/>
          <w:sz w:val="18"/>
          <w:szCs w:val="18"/>
        </w:rPr>
      </w:pPr>
    </w:p>
    <w:p w14:paraId="1709B60D" w14:textId="25A44838" w:rsidR="00D72A40" w:rsidRPr="00624EA8" w:rsidRDefault="00D72A40" w:rsidP="00D72A40">
      <w:r w:rsidRPr="00624EA8">
        <w:rPr>
          <w:sz w:val="18"/>
          <w:szCs w:val="18"/>
        </w:rPr>
        <w:t xml:space="preserve">Acknowledgement of Source: </w:t>
      </w:r>
      <w:r w:rsidRPr="00624EA8">
        <w:rPr>
          <w:b/>
          <w:bCs/>
          <w:sz w:val="18"/>
          <w:szCs w:val="18"/>
        </w:rPr>
        <w:t>All Wales Medicines Strategy Group. Safeguarding Users of Opioid Patches by Standardising Patient/Caregiver Counselling. September 2016 (Updated December 2020). Available at:</w:t>
      </w:r>
      <w:r w:rsidRPr="00624EA8">
        <w:rPr>
          <w:sz w:val="18"/>
          <w:szCs w:val="18"/>
        </w:rPr>
        <w:t xml:space="preserve"> </w:t>
      </w:r>
      <w:hyperlink r:id="rId12" w:history="1">
        <w:proofErr w:type="spellStart"/>
        <w:r w:rsidRPr="00624EA8">
          <w:rPr>
            <w:rStyle w:val="Hyperlink"/>
            <w:sz w:val="18"/>
            <w:szCs w:val="18"/>
          </w:rPr>
          <w:t>awttc.nhs.wales</w:t>
        </w:r>
        <w:proofErr w:type="spellEnd"/>
      </w:hyperlink>
    </w:p>
    <w:p w14:paraId="7EC53616" w14:textId="5B6E9F4E" w:rsidR="00D72A40" w:rsidRPr="00624EA8" w:rsidRDefault="00D72A40" w:rsidP="00D72A40">
      <w:pPr>
        <w:tabs>
          <w:tab w:val="left" w:pos="1005"/>
        </w:tabs>
        <w:rPr>
          <w:sz w:val="18"/>
          <w:szCs w:val="18"/>
        </w:rPr>
      </w:pPr>
      <w:r w:rsidRPr="00624EA8">
        <w:rPr>
          <w:sz w:val="18"/>
          <w:szCs w:val="18"/>
        </w:rPr>
        <w:t>Adapted and approved by Surrey Heartlands Medicines Safety Committee on 9</w:t>
      </w:r>
      <w:r w:rsidRPr="00624EA8">
        <w:rPr>
          <w:sz w:val="18"/>
          <w:szCs w:val="18"/>
          <w:vertAlign w:val="superscript"/>
        </w:rPr>
        <w:t>th</w:t>
      </w:r>
      <w:r w:rsidRPr="00624EA8">
        <w:rPr>
          <w:sz w:val="18"/>
          <w:szCs w:val="18"/>
        </w:rPr>
        <w:t xml:space="preserve"> February 2022</w:t>
      </w:r>
      <w:r w:rsidRPr="00624EA8">
        <w:rPr>
          <w:rFonts w:ascii="Calibri" w:eastAsiaTheme="minorHAnsi" w:hAnsi="Calibri" w:cs="Calibri"/>
          <w:color w:val="1F4E79"/>
          <w:sz w:val="18"/>
          <w:szCs w:val="18"/>
          <w:lang w:bidi="ar-SA"/>
        </w:rPr>
        <w:t xml:space="preserve"> </w:t>
      </w:r>
    </w:p>
    <w:sectPr w:rsidR="00D72A40" w:rsidRPr="00624EA8" w:rsidSect="00D2048A">
      <w:type w:val="continuous"/>
      <w:pgSz w:w="11910" w:h="16840"/>
      <w:pgMar w:top="33" w:right="42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A5BCA"/>
    <w:multiLevelType w:val="hybridMultilevel"/>
    <w:tmpl w:val="40D0B904"/>
    <w:lvl w:ilvl="0" w:tplc="40B82670">
      <w:numFmt w:val="bullet"/>
      <w:lvlText w:val=""/>
      <w:lvlJc w:val="left"/>
      <w:pPr>
        <w:ind w:left="256" w:hanging="200"/>
      </w:pPr>
      <w:rPr>
        <w:rFonts w:ascii="Symbol" w:eastAsia="Symbol" w:hAnsi="Symbol" w:cs="Symbol" w:hint="default"/>
        <w:w w:val="100"/>
        <w:sz w:val="18"/>
        <w:szCs w:val="18"/>
        <w:lang w:val="en-GB" w:eastAsia="en-GB" w:bidi="en-GB"/>
      </w:rPr>
    </w:lvl>
    <w:lvl w:ilvl="1" w:tplc="E486842A">
      <w:numFmt w:val="bullet"/>
      <w:lvlText w:val="•"/>
      <w:lvlJc w:val="left"/>
      <w:pPr>
        <w:ind w:left="1055" w:hanging="200"/>
      </w:pPr>
      <w:rPr>
        <w:rFonts w:hint="default"/>
        <w:lang w:val="en-GB" w:eastAsia="en-GB" w:bidi="en-GB"/>
      </w:rPr>
    </w:lvl>
    <w:lvl w:ilvl="2" w:tplc="AF8AAC0A">
      <w:numFmt w:val="bullet"/>
      <w:lvlText w:val="•"/>
      <w:lvlJc w:val="left"/>
      <w:pPr>
        <w:ind w:left="1851" w:hanging="200"/>
      </w:pPr>
      <w:rPr>
        <w:rFonts w:hint="default"/>
        <w:lang w:val="en-GB" w:eastAsia="en-GB" w:bidi="en-GB"/>
      </w:rPr>
    </w:lvl>
    <w:lvl w:ilvl="3" w:tplc="A008E93A">
      <w:numFmt w:val="bullet"/>
      <w:lvlText w:val="•"/>
      <w:lvlJc w:val="left"/>
      <w:pPr>
        <w:ind w:left="2647" w:hanging="200"/>
      </w:pPr>
      <w:rPr>
        <w:rFonts w:hint="default"/>
        <w:lang w:val="en-GB" w:eastAsia="en-GB" w:bidi="en-GB"/>
      </w:rPr>
    </w:lvl>
    <w:lvl w:ilvl="4" w:tplc="E048BF2E">
      <w:numFmt w:val="bullet"/>
      <w:lvlText w:val="•"/>
      <w:lvlJc w:val="left"/>
      <w:pPr>
        <w:ind w:left="3443" w:hanging="200"/>
      </w:pPr>
      <w:rPr>
        <w:rFonts w:hint="default"/>
        <w:lang w:val="en-GB" w:eastAsia="en-GB" w:bidi="en-GB"/>
      </w:rPr>
    </w:lvl>
    <w:lvl w:ilvl="5" w:tplc="EA2429CE">
      <w:numFmt w:val="bullet"/>
      <w:lvlText w:val="•"/>
      <w:lvlJc w:val="left"/>
      <w:pPr>
        <w:ind w:left="4239" w:hanging="200"/>
      </w:pPr>
      <w:rPr>
        <w:rFonts w:hint="default"/>
        <w:lang w:val="en-GB" w:eastAsia="en-GB" w:bidi="en-GB"/>
      </w:rPr>
    </w:lvl>
    <w:lvl w:ilvl="6" w:tplc="372E5E50">
      <w:numFmt w:val="bullet"/>
      <w:lvlText w:val="•"/>
      <w:lvlJc w:val="left"/>
      <w:pPr>
        <w:ind w:left="5035" w:hanging="200"/>
      </w:pPr>
      <w:rPr>
        <w:rFonts w:hint="default"/>
        <w:lang w:val="en-GB" w:eastAsia="en-GB" w:bidi="en-GB"/>
      </w:rPr>
    </w:lvl>
    <w:lvl w:ilvl="7" w:tplc="7834D698">
      <w:numFmt w:val="bullet"/>
      <w:lvlText w:val="•"/>
      <w:lvlJc w:val="left"/>
      <w:pPr>
        <w:ind w:left="5831" w:hanging="200"/>
      </w:pPr>
      <w:rPr>
        <w:rFonts w:hint="default"/>
        <w:lang w:val="en-GB" w:eastAsia="en-GB" w:bidi="en-GB"/>
      </w:rPr>
    </w:lvl>
    <w:lvl w:ilvl="8" w:tplc="0F8813BE">
      <w:numFmt w:val="bullet"/>
      <w:lvlText w:val="•"/>
      <w:lvlJc w:val="left"/>
      <w:pPr>
        <w:ind w:left="6627" w:hanging="200"/>
      </w:pPr>
      <w:rPr>
        <w:rFonts w:hint="default"/>
        <w:lang w:val="en-GB" w:eastAsia="en-GB" w:bidi="en-GB"/>
      </w:rPr>
    </w:lvl>
  </w:abstractNum>
  <w:abstractNum w:abstractNumId="1" w15:restartNumberingAfterBreak="0">
    <w:nsid w:val="6DA77192"/>
    <w:multiLevelType w:val="hybridMultilevel"/>
    <w:tmpl w:val="8B8019E6"/>
    <w:lvl w:ilvl="0" w:tplc="CEF62FF0">
      <w:numFmt w:val="bullet"/>
      <w:lvlText w:val=""/>
      <w:lvlJc w:val="left"/>
      <w:pPr>
        <w:ind w:left="961" w:hanging="284"/>
      </w:pPr>
      <w:rPr>
        <w:rFonts w:ascii="Symbol" w:eastAsia="Symbol" w:hAnsi="Symbol" w:cs="Symbol" w:hint="default"/>
        <w:w w:val="100"/>
        <w:sz w:val="18"/>
        <w:szCs w:val="18"/>
        <w:lang w:val="en-GB" w:eastAsia="en-GB" w:bidi="en-GB"/>
      </w:rPr>
    </w:lvl>
    <w:lvl w:ilvl="1" w:tplc="6392750A">
      <w:numFmt w:val="bullet"/>
      <w:lvlText w:val="•"/>
      <w:lvlJc w:val="left"/>
      <w:pPr>
        <w:ind w:left="1938" w:hanging="284"/>
      </w:pPr>
      <w:rPr>
        <w:rFonts w:hint="default"/>
        <w:lang w:val="en-GB" w:eastAsia="en-GB" w:bidi="en-GB"/>
      </w:rPr>
    </w:lvl>
    <w:lvl w:ilvl="2" w:tplc="9CA027E6">
      <w:numFmt w:val="bullet"/>
      <w:lvlText w:val="•"/>
      <w:lvlJc w:val="left"/>
      <w:pPr>
        <w:ind w:left="2917" w:hanging="284"/>
      </w:pPr>
      <w:rPr>
        <w:rFonts w:hint="default"/>
        <w:lang w:val="en-GB" w:eastAsia="en-GB" w:bidi="en-GB"/>
      </w:rPr>
    </w:lvl>
    <w:lvl w:ilvl="3" w:tplc="1A383E1A">
      <w:numFmt w:val="bullet"/>
      <w:lvlText w:val="•"/>
      <w:lvlJc w:val="left"/>
      <w:pPr>
        <w:ind w:left="3895" w:hanging="284"/>
      </w:pPr>
      <w:rPr>
        <w:rFonts w:hint="default"/>
        <w:lang w:val="en-GB" w:eastAsia="en-GB" w:bidi="en-GB"/>
      </w:rPr>
    </w:lvl>
    <w:lvl w:ilvl="4" w:tplc="F37A3FAA">
      <w:numFmt w:val="bullet"/>
      <w:lvlText w:val="•"/>
      <w:lvlJc w:val="left"/>
      <w:pPr>
        <w:ind w:left="4874" w:hanging="284"/>
      </w:pPr>
      <w:rPr>
        <w:rFonts w:hint="default"/>
        <w:lang w:val="en-GB" w:eastAsia="en-GB" w:bidi="en-GB"/>
      </w:rPr>
    </w:lvl>
    <w:lvl w:ilvl="5" w:tplc="F0D4B912">
      <w:numFmt w:val="bullet"/>
      <w:lvlText w:val="•"/>
      <w:lvlJc w:val="left"/>
      <w:pPr>
        <w:ind w:left="5853" w:hanging="284"/>
      </w:pPr>
      <w:rPr>
        <w:rFonts w:hint="default"/>
        <w:lang w:val="en-GB" w:eastAsia="en-GB" w:bidi="en-GB"/>
      </w:rPr>
    </w:lvl>
    <w:lvl w:ilvl="6" w:tplc="9C0C2622">
      <w:numFmt w:val="bullet"/>
      <w:lvlText w:val="•"/>
      <w:lvlJc w:val="left"/>
      <w:pPr>
        <w:ind w:left="6831" w:hanging="284"/>
      </w:pPr>
      <w:rPr>
        <w:rFonts w:hint="default"/>
        <w:lang w:val="en-GB" w:eastAsia="en-GB" w:bidi="en-GB"/>
      </w:rPr>
    </w:lvl>
    <w:lvl w:ilvl="7" w:tplc="34BC8B14">
      <w:numFmt w:val="bullet"/>
      <w:lvlText w:val="•"/>
      <w:lvlJc w:val="left"/>
      <w:pPr>
        <w:ind w:left="7810" w:hanging="284"/>
      </w:pPr>
      <w:rPr>
        <w:rFonts w:hint="default"/>
        <w:lang w:val="en-GB" w:eastAsia="en-GB" w:bidi="en-GB"/>
      </w:rPr>
    </w:lvl>
    <w:lvl w:ilvl="8" w:tplc="21A4DE10">
      <w:numFmt w:val="bullet"/>
      <w:lvlText w:val="•"/>
      <w:lvlJc w:val="left"/>
      <w:pPr>
        <w:ind w:left="8789" w:hanging="284"/>
      </w:pPr>
      <w:rPr>
        <w:rFonts w:hint="default"/>
        <w:lang w:val="en-GB" w:eastAsia="en-GB" w:bidi="en-G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DE"/>
    <w:rsid w:val="001E238A"/>
    <w:rsid w:val="004458D9"/>
    <w:rsid w:val="005A6CD4"/>
    <w:rsid w:val="00624EA8"/>
    <w:rsid w:val="007852CF"/>
    <w:rsid w:val="008A3A37"/>
    <w:rsid w:val="00C36235"/>
    <w:rsid w:val="00C773DE"/>
    <w:rsid w:val="00D2048A"/>
    <w:rsid w:val="00D72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56E1AB6"/>
  <w15:docId w15:val="{DDE6E9F8-8949-4937-A673-FA071475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pPr>
      <w:spacing w:before="4"/>
      <w:ind w:left="961"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72A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g.com/images/search?view=detailV2&amp;ccid=ieHjsfz6&amp;id=9E4A2950FA9C2791D58505EEA6AA69888244CBF7&amp;thid=OIP.ieHjsfz6GqvwK8lwGwZq0wHaC_&amp;mediaurl=https://upload.wikimedia.org/wikipedia/commons/thumb/f/fa/NHS-Logo.svg/1280px-NHS-Logo.svg.png&amp;exph=518&amp;expw=1280&amp;q=nhs+logo&amp;simid=608043912618708235&amp;selectedIndex=3" TargetMode="External"/><Relationship Id="rId12" Type="http://schemas.openxmlformats.org/officeDocument/2006/relationships/hyperlink" Target="https://awttc.nhs.wales/medicines-optimisation-and-safety/medicines-optimisation-guidance-resources-and-data/prescribing-guidance/safeguarding-users-of-opioid-patches-by-standardising-patient-and-caregiver-counsell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wmsg.nhs.wales/files/guidelines-and-pils/gwybodaeth-am-glytiau-opioid-er-mwyn-cadw-cleifion-yn-ddiogel-pdf/" TargetMode="External"/><Relationship Id="rId5" Type="http://schemas.openxmlformats.org/officeDocument/2006/relationships/image" Target="media/image1.jpeg"/><Relationship Id="rId10" Type="http://schemas.openxmlformats.org/officeDocument/2006/relationships/hyperlink" Target="https://awmsg.nhs.wales/files/guidelines-and-pils/opioid-patch-information-to-keep-patients-safe-pdf/" TargetMode="External"/><Relationship Id="rId4" Type="http://schemas.openxmlformats.org/officeDocument/2006/relationships/webSettings" Target="webSettings.xml"/><Relationship Id="rId9" Type="http://schemas.openxmlformats.org/officeDocument/2006/relationships/hyperlink" Target="https://www.sps.nhs.uk/articles/tool-to-calculate-estimated-dose-equivalences-of-oral-morphine-to-other-oral-opio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Howells</dc:creator>
  <cp:lastModifiedBy>Smith Nikki (NHS Surrey Heartlands CCG)</cp:lastModifiedBy>
  <cp:revision>3</cp:revision>
  <dcterms:created xsi:type="dcterms:W3CDTF">2022-02-18T14:19:00Z</dcterms:created>
  <dcterms:modified xsi:type="dcterms:W3CDTF">2022-02-18T14:21:00Z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Acrobat PDFMaker 15 for Word</vt:lpwstr>
  </property>
  <property fmtid="{D5CDD505-2E9C-101B-9397-08002B2CF9AE}" pid="4" name="LastSaved">
    <vt:filetime>2022-01-17T00:00:00Z</vt:filetime>
  </property>
</Properties>
</file>